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7CF00" w14:textId="5B28FCDA" w:rsidR="00A96DD7" w:rsidRPr="00990003" w:rsidRDefault="00432EF2">
      <w:pPr>
        <w:rPr>
          <w:sz w:val="14"/>
        </w:rPr>
      </w:pPr>
      <w:r w:rsidRPr="00990003">
        <w:rPr>
          <w:noProof/>
          <w:sz w:val="14"/>
        </w:rPr>
        <w:drawing>
          <wp:anchor distT="0" distB="0" distL="114300" distR="114300" simplePos="0" relativeHeight="251658240" behindDoc="1" locked="0" layoutInCell="1" allowOverlap="1" wp14:anchorId="0078277C" wp14:editId="05881E4A">
            <wp:simplePos x="0" y="0"/>
            <wp:positionH relativeFrom="column">
              <wp:posOffset>-24765</wp:posOffset>
            </wp:positionH>
            <wp:positionV relativeFrom="paragraph">
              <wp:posOffset>-476885</wp:posOffset>
            </wp:positionV>
            <wp:extent cx="1457325" cy="61214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 University Logo.jpg"/>
                    <pic:cNvPicPr/>
                  </pic:nvPicPr>
                  <pic:blipFill rotWithShape="1">
                    <a:blip r:embed="rId11" cstate="print">
                      <a:extLst>
                        <a:ext uri="{28A0092B-C50C-407E-A947-70E740481C1C}">
                          <a14:useLocalDpi xmlns:a14="http://schemas.microsoft.com/office/drawing/2010/main" val="0"/>
                        </a:ext>
                      </a:extLst>
                    </a:blip>
                    <a:srcRect l="11446" t="16354" b="20409"/>
                    <a:stretch/>
                  </pic:blipFill>
                  <pic:spPr bwMode="auto">
                    <a:xfrm>
                      <a:off x="0" y="0"/>
                      <a:ext cx="1457325" cy="612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9781" w:type="dxa"/>
        <w:tblInd w:w="108" w:type="dxa"/>
        <w:shd w:val="clear" w:color="auto" w:fill="7E317B"/>
        <w:tblLook w:val="04A0" w:firstRow="1" w:lastRow="0" w:firstColumn="1" w:lastColumn="0" w:noHBand="0" w:noVBand="1"/>
      </w:tblPr>
      <w:tblGrid>
        <w:gridCol w:w="9781"/>
      </w:tblGrid>
      <w:tr w:rsidR="007C2F9F" w:rsidRPr="00990003" w14:paraId="7A628D09" w14:textId="77777777" w:rsidTr="00C44880">
        <w:trPr>
          <w:trHeight w:val="297"/>
        </w:trPr>
        <w:tc>
          <w:tcPr>
            <w:tcW w:w="9781" w:type="dxa"/>
            <w:shd w:val="clear" w:color="auto" w:fill="68246D"/>
          </w:tcPr>
          <w:p w14:paraId="666CE38D" w14:textId="2F00EECB" w:rsidR="007C2F9F" w:rsidRPr="00990003" w:rsidRDefault="00BC4985" w:rsidP="00FF37BD">
            <w:pPr>
              <w:spacing w:before="120" w:after="120"/>
              <w:jc w:val="center"/>
              <w:rPr>
                <w:b/>
              </w:rPr>
            </w:pPr>
            <w:r w:rsidRPr="00990003">
              <w:rPr>
                <w:b/>
                <w:color w:val="FFFFFF" w:themeColor="background1"/>
              </w:rPr>
              <w:t>University Executive Committee</w:t>
            </w:r>
          </w:p>
        </w:tc>
      </w:tr>
      <w:tr w:rsidR="00A71D62" w:rsidRPr="00990003" w14:paraId="1BBD4C73" w14:textId="77777777" w:rsidTr="008049DA">
        <w:trPr>
          <w:trHeight w:val="222"/>
        </w:trPr>
        <w:tc>
          <w:tcPr>
            <w:tcW w:w="9781" w:type="dxa"/>
            <w:shd w:val="clear" w:color="auto" w:fill="000000" w:themeFill="text1"/>
          </w:tcPr>
          <w:p w14:paraId="31C989EE" w14:textId="3AE9B8B6" w:rsidR="00A71D62" w:rsidRPr="00990003" w:rsidRDefault="00554D1C" w:rsidP="00FF37BD">
            <w:pPr>
              <w:spacing w:before="60" w:after="60"/>
              <w:jc w:val="center"/>
              <w:rPr>
                <w:b/>
              </w:rPr>
            </w:pPr>
            <w:r>
              <w:rPr>
                <w:b/>
              </w:rPr>
              <w:t>21</w:t>
            </w:r>
            <w:r w:rsidR="005077AE">
              <w:rPr>
                <w:b/>
              </w:rPr>
              <w:t xml:space="preserve"> May 2024</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3307"/>
        <w:gridCol w:w="1540"/>
        <w:gridCol w:w="3279"/>
      </w:tblGrid>
      <w:tr w:rsidR="00B21E9C" w:rsidRPr="005077AE" w14:paraId="4D8A575C" w14:textId="77777777" w:rsidTr="00F87ED1">
        <w:tc>
          <w:tcPr>
            <w:tcW w:w="1418" w:type="dxa"/>
          </w:tcPr>
          <w:p w14:paraId="482A9B36" w14:textId="77777777" w:rsidR="00B21E9C" w:rsidRPr="005077AE" w:rsidRDefault="00B21E9C" w:rsidP="00F87ED1">
            <w:pPr>
              <w:tabs>
                <w:tab w:val="left" w:pos="1526"/>
                <w:tab w:val="left" w:pos="5013"/>
                <w:tab w:val="left" w:pos="6430"/>
              </w:tabs>
              <w:spacing w:before="120"/>
              <w:ind w:left="-108"/>
              <w:jc w:val="left"/>
              <w:rPr>
                <w:rFonts w:eastAsiaTheme="majorEastAsia" w:cstheme="majorBidi"/>
                <w:b/>
                <w:bCs/>
                <w:color w:val="7E317B"/>
                <w:kern w:val="32"/>
              </w:rPr>
            </w:pPr>
            <w:r w:rsidRPr="005077AE">
              <w:rPr>
                <w:rFonts w:eastAsiaTheme="majorEastAsia" w:cstheme="majorBidi"/>
                <w:b/>
                <w:bCs/>
                <w:color w:val="7E317B"/>
                <w:kern w:val="32"/>
              </w:rPr>
              <w:t>Sponsor:</w:t>
            </w:r>
          </w:p>
        </w:tc>
        <w:tc>
          <w:tcPr>
            <w:tcW w:w="3400" w:type="dxa"/>
          </w:tcPr>
          <w:p w14:paraId="259152BE" w14:textId="6552571E" w:rsidR="00B21E9C" w:rsidRPr="005077AE" w:rsidRDefault="00BC4985" w:rsidP="00320912">
            <w:pPr>
              <w:tabs>
                <w:tab w:val="left" w:pos="1526"/>
                <w:tab w:val="left" w:pos="5013"/>
                <w:tab w:val="left" w:pos="6430"/>
              </w:tabs>
              <w:spacing w:before="120"/>
              <w:jc w:val="left"/>
              <w:rPr>
                <w:rFonts w:eastAsiaTheme="majorEastAsia" w:cstheme="majorBidi"/>
                <w:bCs/>
                <w:color w:val="7E317B"/>
                <w:kern w:val="32"/>
              </w:rPr>
            </w:pPr>
            <w:r w:rsidRPr="005077AE">
              <w:rPr>
                <w:rFonts w:eastAsiaTheme="majorEastAsia" w:cstheme="majorBidi"/>
                <w:bCs/>
                <w:kern w:val="32"/>
              </w:rPr>
              <w:t>Jeremy Cook</w:t>
            </w:r>
          </w:p>
        </w:tc>
        <w:tc>
          <w:tcPr>
            <w:tcW w:w="1561" w:type="dxa"/>
          </w:tcPr>
          <w:p w14:paraId="531FFA9F" w14:textId="77777777" w:rsidR="00B21E9C" w:rsidRPr="005077AE" w:rsidRDefault="00B21E9C" w:rsidP="00320912">
            <w:pPr>
              <w:tabs>
                <w:tab w:val="left" w:pos="1526"/>
                <w:tab w:val="left" w:pos="5013"/>
                <w:tab w:val="left" w:pos="6430"/>
              </w:tabs>
              <w:spacing w:before="120"/>
              <w:jc w:val="left"/>
              <w:rPr>
                <w:rFonts w:eastAsiaTheme="majorEastAsia" w:cstheme="majorBidi"/>
                <w:b/>
                <w:bCs/>
                <w:color w:val="7E317B"/>
                <w:kern w:val="32"/>
              </w:rPr>
            </w:pPr>
            <w:r w:rsidRPr="005077AE">
              <w:rPr>
                <w:rFonts w:eastAsiaTheme="majorEastAsia" w:cstheme="majorBidi"/>
                <w:b/>
                <w:bCs/>
                <w:color w:val="7E317B"/>
                <w:kern w:val="32"/>
              </w:rPr>
              <w:t>Author:</w:t>
            </w:r>
          </w:p>
        </w:tc>
        <w:tc>
          <w:tcPr>
            <w:tcW w:w="3367" w:type="dxa"/>
          </w:tcPr>
          <w:p w14:paraId="0CDE7710" w14:textId="51BD0B28" w:rsidR="00B21E9C" w:rsidRPr="005077AE" w:rsidRDefault="00BC4985" w:rsidP="00320912">
            <w:pPr>
              <w:tabs>
                <w:tab w:val="left" w:pos="1526"/>
                <w:tab w:val="left" w:pos="5013"/>
                <w:tab w:val="left" w:pos="6430"/>
              </w:tabs>
              <w:spacing w:before="120"/>
              <w:jc w:val="left"/>
              <w:rPr>
                <w:rFonts w:eastAsiaTheme="majorEastAsia" w:cstheme="majorBidi"/>
                <w:b/>
                <w:bCs/>
                <w:color w:val="7E317B"/>
                <w:kern w:val="32"/>
              </w:rPr>
            </w:pPr>
            <w:r w:rsidRPr="005077AE">
              <w:t xml:space="preserve">Clarissa </w:t>
            </w:r>
            <w:r w:rsidR="00C31326" w:rsidRPr="005077AE">
              <w:t xml:space="preserve">J. </w:t>
            </w:r>
            <w:r w:rsidR="00A26D50" w:rsidRPr="005077AE">
              <w:t>DiSantis</w:t>
            </w:r>
          </w:p>
        </w:tc>
      </w:tr>
    </w:tbl>
    <w:p w14:paraId="4F464740" w14:textId="77777777" w:rsidR="00E12DD8" w:rsidRPr="005077AE" w:rsidRDefault="00E12DD8" w:rsidP="00320912">
      <w:pPr>
        <w:pBdr>
          <w:bottom w:val="single" w:sz="4" w:space="1" w:color="auto"/>
        </w:pBdr>
      </w:pPr>
    </w:p>
    <w:p w14:paraId="5628527E" w14:textId="77777777" w:rsidR="00320912" w:rsidRPr="005077AE" w:rsidRDefault="00320912" w:rsidP="008E5372">
      <w:pPr>
        <w:pStyle w:val="ReportTitle"/>
      </w:pPr>
    </w:p>
    <w:p w14:paraId="63F1895B" w14:textId="561A2EAE" w:rsidR="00C7429D" w:rsidRPr="005077AE" w:rsidRDefault="00BC4985" w:rsidP="008E5372">
      <w:pPr>
        <w:pStyle w:val="ReportTitle"/>
        <w:rPr>
          <w:rStyle w:val="Strong"/>
          <w:b/>
          <w:bCs/>
        </w:rPr>
      </w:pPr>
      <w:bookmarkStart w:id="0" w:name="_Hlk127383550"/>
      <w:r w:rsidRPr="005077AE">
        <w:t xml:space="preserve">Sexual Misconduct </w:t>
      </w:r>
      <w:r w:rsidR="004163E4" w:rsidRPr="005077AE">
        <w:t>&amp;</w:t>
      </w:r>
      <w:r w:rsidRPr="005077AE">
        <w:t xml:space="preserve"> Violence Annual Trend Monitoring Paper for </w:t>
      </w:r>
      <w:r w:rsidR="00F207E0" w:rsidRPr="005077AE">
        <w:t xml:space="preserve">the </w:t>
      </w:r>
      <w:r w:rsidR="00C31326" w:rsidRPr="005077AE">
        <w:t>2022/23</w:t>
      </w:r>
      <w:r w:rsidR="00F207E0" w:rsidRPr="005077AE">
        <w:t xml:space="preserve"> Academic Year</w:t>
      </w:r>
    </w:p>
    <w:bookmarkEnd w:id="0"/>
    <w:p w14:paraId="442F633E" w14:textId="77777777" w:rsidR="00C7429D" w:rsidRPr="005077AE" w:rsidRDefault="00C7429D" w:rsidP="008E5372">
      <w:pPr>
        <w:pStyle w:val="ReportTitle"/>
        <w:rPr>
          <w:rStyle w:val="Strong"/>
          <w:szCs w:val="24"/>
        </w:rPr>
      </w:pPr>
    </w:p>
    <w:p w14:paraId="68FF0CAD" w14:textId="525FF0C4" w:rsidR="008E5372" w:rsidRPr="005077AE" w:rsidRDefault="008E5372" w:rsidP="008E5372">
      <w:pPr>
        <w:pStyle w:val="ReportTitle"/>
      </w:pPr>
      <w:r w:rsidRPr="005077AE">
        <w:t>Proposed Resolution</w:t>
      </w:r>
    </w:p>
    <w:p w14:paraId="45A47063" w14:textId="4D425C02" w:rsidR="00CB7046" w:rsidRPr="005077AE" w:rsidRDefault="00CB7046" w:rsidP="00CB7046"/>
    <w:p w14:paraId="609964A6" w14:textId="3D21AD65" w:rsidR="00822213" w:rsidRPr="005077AE" w:rsidRDefault="00BC4985" w:rsidP="00822213">
      <w:r w:rsidRPr="005077AE">
        <w:t>University Executive</w:t>
      </w:r>
      <w:r w:rsidR="005C6266" w:rsidRPr="005077AE">
        <w:t xml:space="preserve"> </w:t>
      </w:r>
      <w:r w:rsidR="00822213" w:rsidRPr="005077AE">
        <w:t>Committee is asked to</w:t>
      </w:r>
      <w:r w:rsidRPr="005077AE">
        <w:rPr>
          <w:b/>
        </w:rPr>
        <w:t xml:space="preserve"> note</w:t>
      </w:r>
      <w:r w:rsidRPr="005077AE">
        <w:t xml:space="preserve"> the case trends in sexual misconduct and violence impacting </w:t>
      </w:r>
      <w:r w:rsidR="00C532B4" w:rsidRPr="005077AE">
        <w:t xml:space="preserve">students and employees </w:t>
      </w:r>
      <w:r w:rsidRPr="005077AE">
        <w:t xml:space="preserve">during the </w:t>
      </w:r>
      <w:r w:rsidR="00A26D50" w:rsidRPr="005077AE">
        <w:t>2022</w:t>
      </w:r>
      <w:r w:rsidR="00C31326" w:rsidRPr="005077AE">
        <w:t>/23</w:t>
      </w:r>
      <w:r w:rsidRPr="005077AE">
        <w:t xml:space="preserve"> academic year and how the </w:t>
      </w:r>
      <w:r w:rsidR="00F82E0C" w:rsidRPr="005077AE">
        <w:t>Student Conduct Office</w:t>
      </w:r>
      <w:r w:rsidRPr="005077AE">
        <w:t xml:space="preserve"> is responding to these issues in accordance with current sector guidance.</w:t>
      </w:r>
      <w:r w:rsidR="00822213" w:rsidRPr="005077AE">
        <w:t xml:space="preserve"> </w:t>
      </w:r>
    </w:p>
    <w:p w14:paraId="0B0B3C02" w14:textId="77777777" w:rsidR="00822213" w:rsidRPr="005077AE" w:rsidRDefault="00822213" w:rsidP="00822213"/>
    <w:p w14:paraId="7328FB50" w14:textId="6965D523" w:rsidR="00DB0A72" w:rsidRPr="005077AE" w:rsidRDefault="00DB0A72" w:rsidP="00BD49E3">
      <w:pPr>
        <w:pStyle w:val="NumberIndented"/>
        <w:numPr>
          <w:ilvl w:val="0"/>
          <w:numId w:val="0"/>
        </w:numPr>
        <w:rPr>
          <w:b/>
          <w:bCs/>
        </w:rPr>
      </w:pPr>
      <w:r w:rsidRPr="005077AE">
        <w:rPr>
          <w:b/>
          <w:bCs/>
        </w:rPr>
        <w:t>Appendices:</w:t>
      </w:r>
    </w:p>
    <w:p w14:paraId="23533EBF" w14:textId="5791D25E" w:rsidR="00BC4985" w:rsidRDefault="00BC4985" w:rsidP="004163E4">
      <w:pPr>
        <w:pStyle w:val="TextunderNumbered"/>
        <w:numPr>
          <w:ilvl w:val="1"/>
          <w:numId w:val="23"/>
        </w:numPr>
        <w:spacing w:after="120"/>
        <w:ind w:left="425" w:hanging="425"/>
      </w:pPr>
      <w:r w:rsidRPr="005077AE">
        <w:t xml:space="preserve">Appendix A – Disclosures and Reports of Sexual Misconduct and Violence: Data </w:t>
      </w:r>
      <w:r w:rsidR="00C84D73" w:rsidRPr="005077AE">
        <w:t>and</w:t>
      </w:r>
      <w:r w:rsidRPr="005077AE">
        <w:t xml:space="preserve"> Discussion</w:t>
      </w:r>
    </w:p>
    <w:p w14:paraId="128C078C" w14:textId="07202586" w:rsidR="00C532B4" w:rsidRDefault="00C532B4" w:rsidP="004163E4">
      <w:pPr>
        <w:pStyle w:val="TextunderNumbered"/>
        <w:numPr>
          <w:ilvl w:val="1"/>
          <w:numId w:val="23"/>
        </w:numPr>
        <w:spacing w:after="120"/>
        <w:ind w:left="425" w:hanging="425"/>
      </w:pPr>
      <w:r w:rsidRPr="005077AE">
        <w:t xml:space="preserve">Appendix </w:t>
      </w:r>
      <w:r w:rsidR="00C11CA5">
        <w:t>B</w:t>
      </w:r>
      <w:r w:rsidRPr="005077AE">
        <w:t xml:space="preserve"> –</w:t>
      </w:r>
      <w:r w:rsidR="00C84D73" w:rsidRPr="005077AE">
        <w:t xml:space="preserve"> References and New Sector Guidance </w:t>
      </w:r>
    </w:p>
    <w:p w14:paraId="30B7AC90" w14:textId="286328CF" w:rsidR="00911C73" w:rsidRPr="00990003" w:rsidRDefault="00911C73" w:rsidP="00911C73">
      <w:pPr>
        <w:pStyle w:val="TextunderNumbered"/>
        <w:numPr>
          <w:ilvl w:val="1"/>
          <w:numId w:val="23"/>
        </w:numPr>
        <w:spacing w:after="120"/>
        <w:ind w:left="425" w:hanging="425"/>
      </w:pPr>
      <w:r w:rsidRPr="00990003">
        <w:t xml:space="preserve">Appendix </w:t>
      </w:r>
      <w:r w:rsidR="00C11CA5">
        <w:t>C</w:t>
      </w:r>
      <w:r w:rsidRPr="00990003">
        <w:t xml:space="preserve"> – For Students: SMV Prevention and Response Training Programme </w:t>
      </w:r>
    </w:p>
    <w:p w14:paraId="1163E1D6" w14:textId="5227CE45" w:rsidR="00911C73" w:rsidRPr="00990003" w:rsidRDefault="00911C73" w:rsidP="00911C73">
      <w:pPr>
        <w:pStyle w:val="TextunderNumbered"/>
        <w:numPr>
          <w:ilvl w:val="1"/>
          <w:numId w:val="23"/>
        </w:numPr>
        <w:ind w:left="426" w:hanging="426"/>
      </w:pPr>
      <w:r w:rsidRPr="00990003">
        <w:t xml:space="preserve">Appendix </w:t>
      </w:r>
      <w:r w:rsidR="00C11CA5">
        <w:t xml:space="preserve">D </w:t>
      </w:r>
      <w:r w:rsidRPr="00990003">
        <w:t xml:space="preserve">– For Staff: SMV Prevention and Response Training Programme </w:t>
      </w:r>
    </w:p>
    <w:p w14:paraId="5CBD435B" w14:textId="5005C5A5" w:rsidR="00DB0A72" w:rsidRPr="005077AE" w:rsidRDefault="00A71844" w:rsidP="004163E4">
      <w:pPr>
        <w:jc w:val="left"/>
        <w:rPr>
          <w:rFonts w:ascii="Calibri" w:hAnsi="Calibri"/>
          <w:szCs w:val="22"/>
        </w:rPr>
      </w:pPr>
      <w:r w:rsidRPr="005077AE">
        <w:rPr>
          <w:b/>
          <w:bCs/>
        </w:rPr>
        <w:t>Previous</w:t>
      </w:r>
      <w:r w:rsidR="00DB0A72" w:rsidRPr="005077AE">
        <w:rPr>
          <w:b/>
          <w:bCs/>
        </w:rPr>
        <w:t xml:space="preserve"> Committee Consideration</w:t>
      </w:r>
      <w:r w:rsidR="00C52C00" w:rsidRPr="005077AE">
        <w:rPr>
          <w:b/>
          <w:bCs/>
        </w:rPr>
        <w:t xml:space="preserve"> and Financial Approvals</w:t>
      </w:r>
      <w:r w:rsidR="00DB0A72" w:rsidRPr="005077AE">
        <w:rPr>
          <w:b/>
          <w:bCs/>
        </w:rPr>
        <w:t>:</w:t>
      </w:r>
      <w:r w:rsidR="00DB0A72" w:rsidRPr="005077AE">
        <w:t xml:space="preserve"> </w:t>
      </w:r>
    </w:p>
    <w:p w14:paraId="392168EC" w14:textId="493B7212" w:rsidR="00DB0A72" w:rsidRPr="005077AE" w:rsidRDefault="00BC4985" w:rsidP="004163E4">
      <w:pPr>
        <w:pStyle w:val="NumberIndented"/>
        <w:numPr>
          <w:ilvl w:val="0"/>
          <w:numId w:val="0"/>
        </w:numPr>
        <w:spacing w:after="0"/>
      </w:pPr>
      <w:r w:rsidRPr="005077AE">
        <w:t>N/A</w:t>
      </w:r>
    </w:p>
    <w:p w14:paraId="1B381334" w14:textId="652F81D8" w:rsidR="0016685E" w:rsidRPr="005077AE" w:rsidRDefault="0016685E" w:rsidP="00DA4153">
      <w:pPr>
        <w:pBdr>
          <w:bottom w:val="single" w:sz="4" w:space="1" w:color="auto"/>
        </w:pBdr>
      </w:pPr>
    </w:p>
    <w:p w14:paraId="514562AB" w14:textId="77777777" w:rsidR="00107B5F" w:rsidRPr="005077AE" w:rsidRDefault="00107B5F" w:rsidP="0039597D">
      <w:pPr>
        <w:shd w:val="clear" w:color="auto" w:fill="FFFFFF" w:themeFill="background1"/>
      </w:pPr>
    </w:p>
    <w:p w14:paraId="6730D8DD" w14:textId="45274E0C" w:rsidR="00E22D66" w:rsidRPr="005077AE" w:rsidRDefault="0039597D" w:rsidP="00BD49E3">
      <w:pPr>
        <w:pStyle w:val="NumberedHeading"/>
        <w:rPr>
          <w:shd w:val="clear" w:color="auto" w:fill="FFFFFF" w:themeFill="background1"/>
        </w:rPr>
      </w:pPr>
      <w:r w:rsidRPr="005077AE">
        <w:rPr>
          <w:shd w:val="clear" w:color="auto" w:fill="FFFFFF" w:themeFill="background1"/>
        </w:rPr>
        <w:t xml:space="preserve">Executive Summary </w:t>
      </w:r>
    </w:p>
    <w:p w14:paraId="2484EE70" w14:textId="22E378CC" w:rsidR="00F82E0C" w:rsidRPr="005077AE" w:rsidRDefault="002274EA" w:rsidP="00B37432">
      <w:pPr>
        <w:pStyle w:val="TextunderNumbered"/>
      </w:pPr>
      <w:r w:rsidRPr="005077AE">
        <w:t>This paper provides a summary of the trends identified through the central recording of disclosed and reported incidents of sexual misconduct and violence (SMV) and related policy breaches as defined under the Sexual Misconduct and Violence Policy (SMV Policy)</w:t>
      </w:r>
      <w:r w:rsidR="00815F6F" w:rsidRPr="005077AE">
        <w:t xml:space="preserve"> and related procedures</w:t>
      </w:r>
      <w:r w:rsidRPr="005077AE">
        <w:t>. It will highlight key themes and issues arising from the reported data</w:t>
      </w:r>
      <w:r w:rsidR="00B678E3" w:rsidRPr="005077AE">
        <w:rPr>
          <w:rStyle w:val="FootnoteReference"/>
        </w:rPr>
        <w:footnoteReference w:id="1"/>
      </w:r>
      <w:r w:rsidRPr="005077AE">
        <w:t xml:space="preserve"> during the </w:t>
      </w:r>
      <w:r w:rsidR="00C31326" w:rsidRPr="005077AE">
        <w:t>2022/23</w:t>
      </w:r>
      <w:r w:rsidRPr="005077AE">
        <w:t xml:space="preserve"> academic year. A statistical analysis and raw data that is frequently requested through Freedom of Information </w:t>
      </w:r>
      <w:r w:rsidR="00CA4938" w:rsidRPr="005077AE">
        <w:t xml:space="preserve">(FOI) </w:t>
      </w:r>
      <w:r w:rsidRPr="005077AE">
        <w:t xml:space="preserve">Requests is included in </w:t>
      </w:r>
      <w:r w:rsidRPr="005077AE">
        <w:rPr>
          <w:b/>
          <w:bCs/>
        </w:rPr>
        <w:t>Appendix A</w:t>
      </w:r>
      <w:r w:rsidRPr="005077AE">
        <w:t>.</w:t>
      </w:r>
      <w:r w:rsidR="00F82E0C" w:rsidRPr="005077AE">
        <w:t xml:space="preserve"> This paper and appendices remain Open each year so the University community, public and those seeking data for FOIs can freely access this information</w:t>
      </w:r>
      <w:r w:rsidR="00F207E0" w:rsidRPr="005077AE">
        <w:t xml:space="preserve"> and to demonstrate transparency in how the University engages in prevention and response initiatives in this area</w:t>
      </w:r>
      <w:r w:rsidR="00F82E0C" w:rsidRPr="005077AE">
        <w:t xml:space="preserve">. </w:t>
      </w:r>
      <w:r w:rsidRPr="005077AE">
        <w:t xml:space="preserve"> </w:t>
      </w:r>
    </w:p>
    <w:p w14:paraId="7EAA66D5" w14:textId="5CB4D8A1" w:rsidR="002274EA" w:rsidRPr="005077AE" w:rsidRDefault="002274EA" w:rsidP="006B5716">
      <w:pPr>
        <w:pStyle w:val="TextunderNumbered"/>
      </w:pPr>
      <w:r w:rsidRPr="005077AE">
        <w:t>This paper is produced annually for assurance purposes in accordance with best practice identified in sector guidance and expectations set by the Office for Students [OfS] (</w:t>
      </w:r>
      <w:r w:rsidR="00CA4938" w:rsidRPr="005077AE">
        <w:t xml:space="preserve">2021; </w:t>
      </w:r>
      <w:r w:rsidRPr="005077AE">
        <w:t>Humphreys &amp; Towl, 2020).</w:t>
      </w:r>
      <w:r w:rsidR="00F82E0C" w:rsidRPr="005077AE">
        <w:t xml:space="preserve"> U</w:t>
      </w:r>
      <w:r w:rsidRPr="005077AE">
        <w:t xml:space="preserve">niversity Executive Committee, Audit and Risk Committee, Senate and Council </w:t>
      </w:r>
      <w:r w:rsidR="00E16D5A">
        <w:t>receive</w:t>
      </w:r>
      <w:r w:rsidRPr="005077AE">
        <w:t xml:space="preserve"> this paper</w:t>
      </w:r>
      <w:r w:rsidR="00B37432" w:rsidRPr="005077AE">
        <w:t xml:space="preserve"> in full</w:t>
      </w:r>
      <w:r w:rsidRPr="005077AE">
        <w:t xml:space="preserve"> as it is imperative that leaders at the highest level of the </w:t>
      </w:r>
      <w:r w:rsidRPr="005077AE">
        <w:lastRenderedPageBreak/>
        <w:t xml:space="preserve">institution are informed </w:t>
      </w:r>
      <w:r w:rsidR="00B37432" w:rsidRPr="005077AE">
        <w:t>of</w:t>
      </w:r>
      <w:r w:rsidRPr="005077AE">
        <w:t xml:space="preserve"> the impact SMV </w:t>
      </w:r>
      <w:r w:rsidR="00223B2D">
        <w:t>has</w:t>
      </w:r>
      <w:r w:rsidRPr="005077AE">
        <w:t xml:space="preserve"> on </w:t>
      </w:r>
      <w:r w:rsidR="00896DB9" w:rsidRPr="005077AE">
        <w:t>students and employees</w:t>
      </w:r>
      <w:r w:rsidRPr="005077AE">
        <w:t xml:space="preserve"> and to provide assurance that at an operational level this issue is being addressed in line with sector guidance and best practice</w:t>
      </w:r>
      <w:r w:rsidR="00815F6F" w:rsidRPr="005077AE">
        <w:t xml:space="preserve"> whilst remaining a strategic priority</w:t>
      </w:r>
      <w:r w:rsidRPr="005077AE">
        <w:t xml:space="preserve">. </w:t>
      </w:r>
    </w:p>
    <w:p w14:paraId="3AF94118" w14:textId="0C20EFDC" w:rsidR="0049236C" w:rsidRPr="005077AE" w:rsidRDefault="00FB147B" w:rsidP="00BD49E3">
      <w:pPr>
        <w:pStyle w:val="NumberedHeading"/>
        <w:rPr>
          <w:shd w:val="clear" w:color="auto" w:fill="FFFFFF" w:themeFill="background1"/>
        </w:rPr>
      </w:pPr>
      <w:r w:rsidRPr="005077AE">
        <w:rPr>
          <w:shd w:val="clear" w:color="auto" w:fill="FFFFFF" w:themeFill="background1"/>
        </w:rPr>
        <w:t>Key Issues</w:t>
      </w:r>
      <w:r w:rsidR="0038756E" w:rsidRPr="005077AE">
        <w:rPr>
          <w:shd w:val="clear" w:color="auto" w:fill="FFFFFF" w:themeFill="background1"/>
        </w:rPr>
        <w:t xml:space="preserve"> and </w:t>
      </w:r>
      <w:r w:rsidR="0016685E" w:rsidRPr="005077AE">
        <w:rPr>
          <w:shd w:val="clear" w:color="auto" w:fill="FFFFFF" w:themeFill="background1"/>
        </w:rPr>
        <w:t xml:space="preserve">Analysis </w:t>
      </w:r>
    </w:p>
    <w:p w14:paraId="45D251ED" w14:textId="0B80D8C6" w:rsidR="000E3A4F" w:rsidRPr="005077AE" w:rsidRDefault="00897663" w:rsidP="000E3A4F">
      <w:pPr>
        <w:pStyle w:val="TextunderNumbered"/>
      </w:pPr>
      <w:r w:rsidRPr="005077AE">
        <w:t xml:space="preserve">In </w:t>
      </w:r>
      <w:r w:rsidR="00C31326" w:rsidRPr="005077AE">
        <w:t>2022/23</w:t>
      </w:r>
      <w:r w:rsidRPr="005077AE">
        <w:t xml:space="preserve">, students and </w:t>
      </w:r>
      <w:r w:rsidR="00E16D5A">
        <w:t>employees had</w:t>
      </w:r>
      <w:r w:rsidRPr="005077AE">
        <w:t xml:space="preserve"> the following ways they could disclose SMV, either through disclosing to staff in </w:t>
      </w:r>
      <w:r w:rsidR="00CC1B4D" w:rsidRPr="005077AE">
        <w:t xml:space="preserve">their </w:t>
      </w:r>
      <w:r w:rsidRPr="005077AE">
        <w:t>College, their Department, Human Resources,</w:t>
      </w:r>
      <w:r w:rsidR="00CC1B4D" w:rsidRPr="005077AE">
        <w:t xml:space="preserve"> the</w:t>
      </w:r>
      <w:r w:rsidRPr="005077AE">
        <w:t xml:space="preserve"> </w:t>
      </w:r>
      <w:r w:rsidR="00B76FF5" w:rsidRPr="005077AE">
        <w:rPr>
          <w:bCs/>
        </w:rPr>
        <w:t>Counselling and Mental Health Service (CMHS)</w:t>
      </w:r>
      <w:r w:rsidRPr="005077AE">
        <w:t>, the Student Conduct Office</w:t>
      </w:r>
      <w:r w:rsidR="00CA4938" w:rsidRPr="005077AE">
        <w:t xml:space="preserve"> (SCO)</w:t>
      </w:r>
      <w:r w:rsidRPr="005077AE">
        <w:t xml:space="preserve">, or online through the </w:t>
      </w:r>
      <w:r w:rsidR="00CC1B4D" w:rsidRPr="005077AE">
        <w:t>Report + Support (R+S)</w:t>
      </w:r>
      <w:r w:rsidRPr="005077AE">
        <w:t xml:space="preserve"> platform. </w:t>
      </w:r>
      <w:r w:rsidR="00CC1B4D" w:rsidRPr="005077AE">
        <w:t xml:space="preserve">Having this range of options available to students and </w:t>
      </w:r>
      <w:r w:rsidR="00C31326" w:rsidRPr="005077AE">
        <w:t>employees</w:t>
      </w:r>
      <w:r w:rsidR="00CC1B4D" w:rsidRPr="005077AE">
        <w:t xml:space="preserve"> is purposeful to reduce barriers to disclosures </w:t>
      </w:r>
      <w:r w:rsidR="00F60E89" w:rsidRPr="005077AE">
        <w:t xml:space="preserve">so more victim-survivors can access support </w:t>
      </w:r>
      <w:r w:rsidR="00CC1B4D" w:rsidRPr="005077AE">
        <w:t xml:space="preserve">as </w:t>
      </w:r>
      <w:r w:rsidR="004163E4" w:rsidRPr="005077AE">
        <w:t>it is</w:t>
      </w:r>
      <w:r w:rsidR="00CC1B4D" w:rsidRPr="005077AE">
        <w:t xml:space="preserve"> recognise</w:t>
      </w:r>
      <w:r w:rsidR="004163E4" w:rsidRPr="005077AE">
        <w:t>d</w:t>
      </w:r>
      <w:r w:rsidR="00CC1B4D" w:rsidRPr="005077AE">
        <w:t xml:space="preserve"> that there are many internal and external reasons</w:t>
      </w:r>
      <w:r w:rsidR="00337D89" w:rsidRPr="005077AE">
        <w:rPr>
          <w:rStyle w:val="FootnoteReference"/>
        </w:rPr>
        <w:footnoteReference w:id="2"/>
      </w:r>
      <w:r w:rsidR="00CC1B4D" w:rsidRPr="005077AE">
        <w:t xml:space="preserve"> a victim-survivor may feel unable to disclose SMV.  However, having multiple ways to disclose, means that collating data on a centralised database is a challenge because it relies on staff who receive a disclosure to ensure they submit a</w:t>
      </w:r>
      <w:r w:rsidR="00337D89" w:rsidRPr="005077AE">
        <w:t xml:space="preserve"> </w:t>
      </w:r>
      <w:r w:rsidR="00337D89" w:rsidRPr="00223B2D">
        <w:rPr>
          <w:i/>
          <w:iCs/>
        </w:rPr>
        <w:t>SMV</w:t>
      </w:r>
      <w:r w:rsidR="00CC1B4D" w:rsidRPr="00223B2D">
        <w:rPr>
          <w:i/>
          <w:iCs/>
        </w:rPr>
        <w:t xml:space="preserve"> Disclosure Recording Form</w:t>
      </w:r>
      <w:r w:rsidR="00CC1B4D" w:rsidRPr="005077AE">
        <w:rPr>
          <w:rStyle w:val="FootnoteReference"/>
        </w:rPr>
        <w:footnoteReference w:id="3"/>
      </w:r>
      <w:r w:rsidR="00CC1B4D" w:rsidRPr="005077AE">
        <w:t xml:space="preserve">. </w:t>
      </w:r>
      <w:r w:rsidR="00896DB9" w:rsidRPr="005077AE">
        <w:t xml:space="preserve">This is expected for anyone who receives a named or anonymous disclosure as </w:t>
      </w:r>
      <w:r w:rsidR="00F60E89" w:rsidRPr="005077AE">
        <w:t xml:space="preserve">1) </w:t>
      </w:r>
      <w:r w:rsidR="00896DB9" w:rsidRPr="005077AE">
        <w:t>this is used for trend monitoring</w:t>
      </w:r>
      <w:r w:rsidR="00F60E89" w:rsidRPr="005077AE">
        <w:t xml:space="preserve"> purposes</w:t>
      </w:r>
      <w:r w:rsidR="00896DB9" w:rsidRPr="005077AE">
        <w:t xml:space="preserve">, </w:t>
      </w:r>
      <w:r w:rsidR="00F60E89" w:rsidRPr="005077AE">
        <w:t xml:space="preserve">2) </w:t>
      </w:r>
      <w:r w:rsidR="00896DB9" w:rsidRPr="005077AE">
        <w:t>a specialist</w:t>
      </w:r>
      <w:r w:rsidR="006D1B49" w:rsidRPr="005077AE">
        <w:t xml:space="preserve"> SMV</w:t>
      </w:r>
      <w:r w:rsidR="00896DB9" w:rsidRPr="005077AE">
        <w:t xml:space="preserve"> case manager can provide advice and guidance to the individual who received the disclosure and </w:t>
      </w:r>
      <w:r w:rsidR="00F60E89" w:rsidRPr="005077AE">
        <w:t xml:space="preserve">3) to allow a specialist </w:t>
      </w:r>
      <w:r w:rsidR="006D1B49" w:rsidRPr="005077AE">
        <w:t xml:space="preserve">SMV </w:t>
      </w:r>
      <w:r w:rsidR="00F60E89" w:rsidRPr="005077AE">
        <w:t xml:space="preserve">case manager </w:t>
      </w:r>
      <w:r w:rsidR="00896DB9" w:rsidRPr="005077AE">
        <w:t xml:space="preserve">to check risk and safeguarding needs. </w:t>
      </w:r>
      <w:r w:rsidR="00CC1B4D" w:rsidRPr="005077AE">
        <w:t xml:space="preserve">If </w:t>
      </w:r>
      <w:r w:rsidR="00896DB9" w:rsidRPr="005077AE">
        <w:t>a</w:t>
      </w:r>
      <w:r w:rsidR="00E16D5A">
        <w:t>n</w:t>
      </w:r>
      <w:r w:rsidR="00896DB9" w:rsidRPr="005077AE">
        <w:t xml:space="preserve"> </w:t>
      </w:r>
      <w:r w:rsidR="00896DB9" w:rsidRPr="00223B2D">
        <w:rPr>
          <w:i/>
          <w:iCs/>
        </w:rPr>
        <w:t>SMV Disclosure Recording Form</w:t>
      </w:r>
      <w:r w:rsidR="00CC1B4D" w:rsidRPr="005077AE">
        <w:t xml:space="preserve"> </w:t>
      </w:r>
      <w:r w:rsidR="00277CF1" w:rsidRPr="005077AE">
        <w:t>was</w:t>
      </w:r>
      <w:r w:rsidR="00CC1B4D" w:rsidRPr="005077AE">
        <w:t xml:space="preserve"> not submitted, </w:t>
      </w:r>
      <w:r w:rsidR="004163E4" w:rsidRPr="005077AE">
        <w:t xml:space="preserve">there is </w:t>
      </w:r>
      <w:r w:rsidR="00223B2D" w:rsidRPr="005077AE">
        <w:t>not</w:t>
      </w:r>
      <w:r w:rsidR="00CC1B4D" w:rsidRPr="005077AE">
        <w:t xml:space="preserve"> a central record of the disclosure, so it would not be included in this data set.</w:t>
      </w:r>
      <w:r w:rsidR="00337D89" w:rsidRPr="005077AE">
        <w:t xml:space="preserve"> </w:t>
      </w:r>
    </w:p>
    <w:p w14:paraId="423D40E6" w14:textId="0C6F55AB" w:rsidR="0059293F" w:rsidRPr="005077AE" w:rsidRDefault="0059293F" w:rsidP="000E3A4F">
      <w:pPr>
        <w:pStyle w:val="TextunderNumbered"/>
      </w:pPr>
      <w:r w:rsidRPr="005077AE">
        <w:t>This paper includes a discussion of data recorded on the centralised database</w:t>
      </w:r>
      <w:r w:rsidR="004163E4" w:rsidRPr="005077AE">
        <w:t xml:space="preserve"> and </w:t>
      </w:r>
      <w:r w:rsidRPr="005077AE">
        <w:t>the R+S platform</w:t>
      </w:r>
      <w:r w:rsidR="004163E4" w:rsidRPr="005077AE">
        <w:t>.</w:t>
      </w:r>
      <w:r w:rsidR="000E3A4F" w:rsidRPr="005077AE">
        <w:t xml:space="preserve"> </w:t>
      </w:r>
      <w:r w:rsidR="00E16D5A">
        <w:t>It highlights actions taken or to be taken in response to these trends</w:t>
      </w:r>
      <w:r w:rsidR="00592EFA" w:rsidRPr="005077AE">
        <w:t xml:space="preserve">. </w:t>
      </w:r>
      <w:r w:rsidR="000E3A4F" w:rsidRPr="005077AE">
        <w:t xml:space="preserve">Analysis of the data from the </w:t>
      </w:r>
      <w:r w:rsidR="00C31326" w:rsidRPr="005077AE">
        <w:t>2022/23</w:t>
      </w:r>
      <w:r w:rsidRPr="005077AE">
        <w:t xml:space="preserve"> academic year </w:t>
      </w:r>
      <w:r w:rsidR="000E3A4F" w:rsidRPr="005077AE">
        <w:t xml:space="preserve">revealed the following trends: </w:t>
      </w:r>
    </w:p>
    <w:p w14:paraId="70362FBA" w14:textId="1273ECFA" w:rsidR="004D091D" w:rsidRDefault="000E3A4F" w:rsidP="004D091D">
      <w:pPr>
        <w:pStyle w:val="NumberIndented"/>
      </w:pPr>
      <w:r w:rsidRPr="005077AE">
        <w:rPr>
          <w:b/>
        </w:rPr>
        <w:t xml:space="preserve">The number of disclosures </w:t>
      </w:r>
      <w:r w:rsidR="00896DB9" w:rsidRPr="005077AE">
        <w:rPr>
          <w:b/>
        </w:rPr>
        <w:t>and incidents</w:t>
      </w:r>
      <w:r w:rsidR="00E46304" w:rsidRPr="005077AE">
        <w:rPr>
          <w:b/>
        </w:rPr>
        <w:t xml:space="preserve"> of SMV</w:t>
      </w:r>
      <w:r w:rsidR="00896DB9" w:rsidRPr="005077AE">
        <w:rPr>
          <w:b/>
        </w:rPr>
        <w:t xml:space="preserve"> </w:t>
      </w:r>
      <w:r w:rsidRPr="005077AE">
        <w:rPr>
          <w:b/>
        </w:rPr>
        <w:t xml:space="preserve">recorded </w:t>
      </w:r>
      <w:r w:rsidR="004D091D" w:rsidRPr="005077AE">
        <w:rPr>
          <w:b/>
        </w:rPr>
        <w:t>increas</w:t>
      </w:r>
      <w:r w:rsidR="00D66133" w:rsidRPr="005077AE">
        <w:rPr>
          <w:b/>
        </w:rPr>
        <w:t>ed</w:t>
      </w:r>
      <w:r w:rsidR="004D091D" w:rsidRPr="005077AE">
        <w:rPr>
          <w:b/>
        </w:rPr>
        <w:t xml:space="preserve"> from the previous year from </w:t>
      </w:r>
      <w:r w:rsidR="00C31326" w:rsidRPr="005077AE">
        <w:rPr>
          <w:b/>
        </w:rPr>
        <w:t>213</w:t>
      </w:r>
      <w:r w:rsidR="004D091D" w:rsidRPr="005077AE">
        <w:rPr>
          <w:b/>
        </w:rPr>
        <w:t xml:space="preserve"> to </w:t>
      </w:r>
      <w:r w:rsidR="00BF5626" w:rsidRPr="005077AE">
        <w:rPr>
          <w:b/>
          <w:u w:val="single"/>
        </w:rPr>
        <w:t>2</w:t>
      </w:r>
      <w:r w:rsidR="0051139E" w:rsidRPr="005077AE">
        <w:rPr>
          <w:b/>
          <w:u w:val="single"/>
        </w:rPr>
        <w:t>74</w:t>
      </w:r>
      <w:r w:rsidR="00896DB9" w:rsidRPr="005077AE">
        <w:rPr>
          <w:b/>
          <w:u w:val="single"/>
        </w:rPr>
        <w:t xml:space="preserve"> disclosures</w:t>
      </w:r>
      <w:r w:rsidR="00896DB9" w:rsidRPr="005077AE">
        <w:rPr>
          <w:b/>
        </w:rPr>
        <w:t xml:space="preserve"> and </w:t>
      </w:r>
      <w:r w:rsidR="00C31326" w:rsidRPr="005077AE">
        <w:rPr>
          <w:b/>
        </w:rPr>
        <w:t>307</w:t>
      </w:r>
      <w:r w:rsidR="00896DB9" w:rsidRPr="005077AE">
        <w:rPr>
          <w:b/>
        </w:rPr>
        <w:t xml:space="preserve"> to </w:t>
      </w:r>
      <w:r w:rsidR="005077AE" w:rsidRPr="005077AE">
        <w:rPr>
          <w:b/>
          <w:u w:val="single"/>
        </w:rPr>
        <w:t xml:space="preserve">361 </w:t>
      </w:r>
      <w:r w:rsidR="00896DB9" w:rsidRPr="005077AE">
        <w:rPr>
          <w:b/>
          <w:u w:val="single"/>
        </w:rPr>
        <w:t>incidents</w:t>
      </w:r>
      <w:r w:rsidR="00896DB9" w:rsidRPr="005077AE">
        <w:rPr>
          <w:b/>
        </w:rPr>
        <w:t xml:space="preserve"> </w:t>
      </w:r>
      <w:r w:rsidR="004D091D" w:rsidRPr="005077AE">
        <w:rPr>
          <w:b/>
        </w:rPr>
        <w:t>(See Appendix A, Figure</w:t>
      </w:r>
      <w:r w:rsidR="00896DB9" w:rsidRPr="005077AE">
        <w:rPr>
          <w:b/>
        </w:rPr>
        <w:t>s</w:t>
      </w:r>
      <w:r w:rsidR="004D091D" w:rsidRPr="005077AE">
        <w:rPr>
          <w:b/>
        </w:rPr>
        <w:t xml:space="preserve"> 1</w:t>
      </w:r>
      <w:r w:rsidR="00896DB9" w:rsidRPr="005077AE">
        <w:rPr>
          <w:b/>
        </w:rPr>
        <w:t xml:space="preserve"> and 7</w:t>
      </w:r>
      <w:r w:rsidR="004D091D" w:rsidRPr="005077AE">
        <w:rPr>
          <w:b/>
        </w:rPr>
        <w:t xml:space="preserve">). </w:t>
      </w:r>
      <w:r w:rsidR="005E2528" w:rsidRPr="005E2528">
        <w:rPr>
          <w:bCs/>
        </w:rPr>
        <w:t>This is a continued trend observed since first recording disclosures in the 2014/15 academic year.</w:t>
      </w:r>
      <w:r w:rsidR="005E2528">
        <w:rPr>
          <w:b/>
        </w:rPr>
        <w:t xml:space="preserve"> </w:t>
      </w:r>
      <w:r w:rsidR="004D091D" w:rsidRPr="005077AE">
        <w:t>Th</w:t>
      </w:r>
      <w:r w:rsidR="005E2528">
        <w:t>ese numbers</w:t>
      </w:r>
      <w:r w:rsidR="004D091D" w:rsidRPr="005077AE">
        <w:t xml:space="preserve"> include </w:t>
      </w:r>
      <w:r w:rsidR="001857B0" w:rsidRPr="005077AE">
        <w:t>37</w:t>
      </w:r>
      <w:r w:rsidR="004D091D" w:rsidRPr="005077AE">
        <w:t xml:space="preserve"> anonymous reports made on the R+S platform</w:t>
      </w:r>
      <w:r w:rsidR="005E2528">
        <w:t xml:space="preserve">, </w:t>
      </w:r>
      <w:r w:rsidR="001857B0" w:rsidRPr="005077AE">
        <w:t>an increase</w:t>
      </w:r>
      <w:r w:rsidR="004D091D" w:rsidRPr="005077AE">
        <w:t xml:space="preserve"> from the year before (n=2</w:t>
      </w:r>
      <w:r w:rsidR="00C31326" w:rsidRPr="005077AE">
        <w:t>4</w:t>
      </w:r>
      <w:r w:rsidR="004D091D" w:rsidRPr="005077AE">
        <w:t>).</w:t>
      </w:r>
      <w:r w:rsidR="004D091D" w:rsidRPr="005077AE">
        <w:rPr>
          <w:b/>
        </w:rPr>
        <w:t xml:space="preserve"> </w:t>
      </w:r>
      <w:r w:rsidR="004D091D" w:rsidRPr="005077AE">
        <w:rPr>
          <w:bCs/>
        </w:rPr>
        <w:t>It is</w:t>
      </w:r>
      <w:r w:rsidR="004D091D" w:rsidRPr="005077AE">
        <w:t xml:space="preserve"> notable that at </w:t>
      </w:r>
      <w:r w:rsidR="00223B2D">
        <w:t xml:space="preserve">the University </w:t>
      </w:r>
      <w:r w:rsidR="004D091D" w:rsidRPr="005077AE">
        <w:t>only a minority of cases are reported anonymously</w:t>
      </w:r>
      <w:r w:rsidR="00B14CFB" w:rsidRPr="005077AE">
        <w:t xml:space="preserve"> which means that the majority of those who disclose are speaking with a member of staff and being signposted to the specialist </w:t>
      </w:r>
      <w:r w:rsidR="006D1B49" w:rsidRPr="005077AE">
        <w:t xml:space="preserve">SMV </w:t>
      </w:r>
      <w:r w:rsidR="00B14CFB" w:rsidRPr="005077AE">
        <w:t xml:space="preserve">case managers and </w:t>
      </w:r>
      <w:r w:rsidR="00320926" w:rsidRPr="005077AE">
        <w:t>relevant</w:t>
      </w:r>
      <w:r w:rsidR="00B14CFB" w:rsidRPr="005077AE">
        <w:t xml:space="preserve"> specialist support</w:t>
      </w:r>
      <w:r w:rsidR="004D091D" w:rsidRPr="005077AE">
        <w:t xml:space="preserve">.  </w:t>
      </w:r>
    </w:p>
    <w:p w14:paraId="5E8B014F" w14:textId="1772F396" w:rsidR="00870BC5" w:rsidRPr="005077AE" w:rsidRDefault="00870BC5" w:rsidP="004D091D">
      <w:pPr>
        <w:pStyle w:val="NumberIndented"/>
      </w:pPr>
      <w:r>
        <w:rPr>
          <w:b/>
        </w:rPr>
        <w:t xml:space="preserve">The type of SMV disclosed included an </w:t>
      </w:r>
      <w:r w:rsidRPr="002E5DE1">
        <w:rPr>
          <w:b/>
          <w:u w:val="single"/>
        </w:rPr>
        <w:t>increase in reports of stalking</w:t>
      </w:r>
      <w:r>
        <w:rPr>
          <w:b/>
        </w:rPr>
        <w:t>, sexual harassment and rape most significant</w:t>
      </w:r>
      <w:r w:rsidR="002E5DE1">
        <w:rPr>
          <w:b/>
        </w:rPr>
        <w:t xml:space="preserve">ly, with sexual assault and </w:t>
      </w:r>
      <w:r w:rsidR="002E5DE1" w:rsidRPr="002E5DE1">
        <w:rPr>
          <w:b/>
        </w:rPr>
        <w:t xml:space="preserve">image-based sexual abuse decreasing </w:t>
      </w:r>
      <w:r w:rsidR="005E2528">
        <w:rPr>
          <w:b/>
        </w:rPr>
        <w:t xml:space="preserve">very </w:t>
      </w:r>
      <w:r w:rsidR="002E5DE1" w:rsidRPr="002E5DE1">
        <w:rPr>
          <w:b/>
        </w:rPr>
        <w:t>slightly (See Appendix A, Figure 7 and Table 3).</w:t>
      </w:r>
      <w:r w:rsidR="002E5DE1">
        <w:t xml:space="preserve"> With the addition the </w:t>
      </w:r>
      <w:r w:rsidR="002E5DE1" w:rsidRPr="002E5DE1">
        <w:rPr>
          <w:i/>
          <w:iCs/>
        </w:rPr>
        <w:t>SMV: Domestic Abuse and Stalking Awareness and Disclosure Training</w:t>
      </w:r>
      <w:r w:rsidR="002E5DE1">
        <w:rPr>
          <w:i/>
          <w:iCs/>
        </w:rPr>
        <w:t xml:space="preserve"> </w:t>
      </w:r>
      <w:r w:rsidR="002E5DE1" w:rsidRPr="002E5DE1">
        <w:t>for staff,</w:t>
      </w:r>
      <w:r w:rsidR="002E5DE1">
        <w:t xml:space="preserve"> it may be that </w:t>
      </w:r>
      <w:r w:rsidR="007762A2">
        <w:t>trained staff</w:t>
      </w:r>
      <w:r w:rsidR="002E5DE1">
        <w:t xml:space="preserve"> are more aware of stalking behaviours, and therefore recognise when students/employees are disclosing stalking which previously may have been minimised/dismisse</w:t>
      </w:r>
      <w:r w:rsidR="005E2528">
        <w:t>d</w:t>
      </w:r>
      <w:r w:rsidR="002E5DE1">
        <w:t>.</w:t>
      </w:r>
      <w:r w:rsidR="00A57B4B">
        <w:t xml:space="preserve"> </w:t>
      </w:r>
      <w:r w:rsidR="002E5DE1">
        <w:t xml:space="preserve">It is positive </w:t>
      </w:r>
      <w:r w:rsidR="007762A2">
        <w:t>that</w:t>
      </w:r>
      <w:r w:rsidR="002E5DE1">
        <w:t xml:space="preserve"> more disclosures </w:t>
      </w:r>
      <w:r w:rsidR="007762A2">
        <w:t xml:space="preserve">are </w:t>
      </w:r>
      <w:r w:rsidR="002E5DE1">
        <w:t xml:space="preserve">being sent to the </w:t>
      </w:r>
      <w:r w:rsidR="005E2528">
        <w:t xml:space="preserve">SMV </w:t>
      </w:r>
      <w:r w:rsidR="002E5DE1">
        <w:t xml:space="preserve">case managers for risk assessment and safety planning. </w:t>
      </w:r>
    </w:p>
    <w:p w14:paraId="7EA36180" w14:textId="1E489FAC" w:rsidR="007A42BC" w:rsidRPr="007762A2" w:rsidRDefault="005E2528" w:rsidP="00C602E0">
      <w:pPr>
        <w:pStyle w:val="NumberIndented"/>
      </w:pPr>
      <w:r>
        <w:rPr>
          <w:b/>
          <w:bCs/>
        </w:rPr>
        <w:t>R</w:t>
      </w:r>
      <w:r w:rsidR="007A42BC" w:rsidRPr="005077AE">
        <w:rPr>
          <w:b/>
          <w:bCs/>
        </w:rPr>
        <w:t xml:space="preserve">eports made to the University increased significantly from the previous year from </w:t>
      </w:r>
      <w:r w:rsidR="00C31326" w:rsidRPr="005077AE">
        <w:rPr>
          <w:b/>
          <w:bCs/>
        </w:rPr>
        <w:t>73</w:t>
      </w:r>
      <w:r w:rsidR="007A42BC" w:rsidRPr="005077AE">
        <w:rPr>
          <w:b/>
          <w:bCs/>
        </w:rPr>
        <w:t xml:space="preserve"> to </w:t>
      </w:r>
      <w:r w:rsidR="005077AE" w:rsidRPr="005077AE">
        <w:rPr>
          <w:b/>
          <w:bCs/>
          <w:u w:val="single"/>
        </w:rPr>
        <w:t>108</w:t>
      </w:r>
      <w:r w:rsidR="007A42BC" w:rsidRPr="005077AE">
        <w:rPr>
          <w:b/>
          <w:bCs/>
          <w:u w:val="single"/>
        </w:rPr>
        <w:t xml:space="preserve"> reports</w:t>
      </w:r>
      <w:r w:rsidR="007A42BC" w:rsidRPr="005077AE">
        <w:rPr>
          <w:b/>
          <w:bCs/>
        </w:rPr>
        <w:t xml:space="preserve">, of which </w:t>
      </w:r>
      <w:r w:rsidR="005077AE" w:rsidRPr="005077AE">
        <w:rPr>
          <w:b/>
          <w:bCs/>
          <w:u w:val="single"/>
        </w:rPr>
        <w:t>62</w:t>
      </w:r>
      <w:r w:rsidR="007A42BC" w:rsidRPr="005077AE">
        <w:rPr>
          <w:b/>
          <w:bCs/>
          <w:u w:val="single"/>
        </w:rPr>
        <w:t xml:space="preserve"> were confirmed and investigated</w:t>
      </w:r>
      <w:r w:rsidR="007A42BC" w:rsidRPr="005077AE">
        <w:rPr>
          <w:b/>
          <w:bCs/>
        </w:rPr>
        <w:t xml:space="preserve"> (</w:t>
      </w:r>
      <w:r w:rsidR="00F227BC" w:rsidRPr="005077AE">
        <w:rPr>
          <w:b/>
        </w:rPr>
        <w:t xml:space="preserve">See Appendix A, </w:t>
      </w:r>
      <w:r w:rsidR="007A42BC" w:rsidRPr="005077AE">
        <w:rPr>
          <w:b/>
          <w:bCs/>
        </w:rPr>
        <w:t>Table 5 and Figure</w:t>
      </w:r>
      <w:r w:rsidR="005077AE" w:rsidRPr="005077AE">
        <w:rPr>
          <w:b/>
          <w:bCs/>
        </w:rPr>
        <w:t>s</w:t>
      </w:r>
      <w:r w:rsidR="007A42BC" w:rsidRPr="005077AE">
        <w:rPr>
          <w:b/>
          <w:bCs/>
        </w:rPr>
        <w:t xml:space="preserve"> </w:t>
      </w:r>
      <w:r w:rsidR="005077AE" w:rsidRPr="005077AE">
        <w:rPr>
          <w:b/>
          <w:bCs/>
        </w:rPr>
        <w:t>10, 11, 12</w:t>
      </w:r>
      <w:r w:rsidR="007A42BC" w:rsidRPr="005077AE">
        <w:rPr>
          <w:b/>
          <w:bCs/>
        </w:rPr>
        <w:t>).</w:t>
      </w:r>
      <w:r w:rsidR="007A42BC" w:rsidRPr="005077AE">
        <w:t xml:space="preserve"> </w:t>
      </w:r>
      <w:r w:rsidR="005077AE" w:rsidRPr="005077AE">
        <w:t>March</w:t>
      </w:r>
      <w:r w:rsidR="005077AE">
        <w:t xml:space="preserve"> (n=22)</w:t>
      </w:r>
      <w:r w:rsidR="007762A2">
        <w:t>,</w:t>
      </w:r>
      <w:r w:rsidR="005077AE">
        <w:t xml:space="preserve"> followed by January, May</w:t>
      </w:r>
      <w:r w:rsidR="002E5DE1">
        <w:t>,</w:t>
      </w:r>
      <w:r w:rsidR="005077AE">
        <w:t xml:space="preserve"> and June (n=11)</w:t>
      </w:r>
      <w:r w:rsidR="007762A2">
        <w:t>,</w:t>
      </w:r>
      <w:r w:rsidR="005077AE">
        <w:t xml:space="preserve"> saw the highest number of reports. </w:t>
      </w:r>
      <w:r w:rsidR="007A42BC" w:rsidRPr="00990003">
        <w:t xml:space="preserve">The reports that did not proceed to investigation were because 1) the Responding Party could not be identified, </w:t>
      </w:r>
      <w:r w:rsidR="007A42BC" w:rsidRPr="00990003">
        <w:lastRenderedPageBreak/>
        <w:t xml:space="preserve">2) the Responding Party’s status at the time of the incident was not affiliated to the </w:t>
      </w:r>
      <w:r w:rsidR="007A42BC" w:rsidRPr="007762A2">
        <w:t>University, or 3) the Reporting Party chose not to proceed with the investigation.</w:t>
      </w:r>
    </w:p>
    <w:p w14:paraId="03BCB186" w14:textId="7001CF86" w:rsidR="004D091D" w:rsidRPr="00990003" w:rsidRDefault="00ED5CE4" w:rsidP="004D091D">
      <w:pPr>
        <w:pStyle w:val="NumberIndented"/>
      </w:pPr>
      <w:r w:rsidRPr="007762A2">
        <w:rPr>
          <w:b/>
          <w:bCs/>
        </w:rPr>
        <w:t xml:space="preserve">The gap between disclosing and reporting to the University has decreased. During the 2022/23 academic year, </w:t>
      </w:r>
      <w:r w:rsidR="007762A2" w:rsidRPr="007762A2">
        <w:rPr>
          <w:b/>
          <w:bCs/>
        </w:rPr>
        <w:t>6</w:t>
      </w:r>
      <w:r w:rsidRPr="007762A2">
        <w:rPr>
          <w:b/>
          <w:bCs/>
        </w:rPr>
        <w:t>3% o</w:t>
      </w:r>
      <w:r w:rsidR="007A42BC" w:rsidRPr="007762A2">
        <w:rPr>
          <w:b/>
          <w:bCs/>
        </w:rPr>
        <w:t xml:space="preserve">f </w:t>
      </w:r>
      <w:r w:rsidRPr="007762A2">
        <w:rPr>
          <w:b/>
          <w:bCs/>
        </w:rPr>
        <w:t>those who disclosed SMV chose to make a report</w:t>
      </w:r>
      <w:r w:rsidR="00592EFA" w:rsidRPr="007762A2">
        <w:rPr>
          <w:b/>
          <w:bCs/>
        </w:rPr>
        <w:t xml:space="preserve"> to the University</w:t>
      </w:r>
      <w:r w:rsidRPr="007762A2">
        <w:rPr>
          <w:b/>
          <w:bCs/>
        </w:rPr>
        <w:t xml:space="preserve"> </w:t>
      </w:r>
      <w:r w:rsidR="00592EFA" w:rsidRPr="007762A2">
        <w:rPr>
          <w:b/>
          <w:bCs/>
        </w:rPr>
        <w:t xml:space="preserve">where the Responding Party </w:t>
      </w:r>
      <w:r w:rsidRPr="007762A2">
        <w:rPr>
          <w:b/>
          <w:bCs/>
        </w:rPr>
        <w:t>wa</w:t>
      </w:r>
      <w:r w:rsidR="00592EFA" w:rsidRPr="007762A2">
        <w:rPr>
          <w:b/>
          <w:bCs/>
        </w:rPr>
        <w:t>s affiliated to the University</w:t>
      </w:r>
      <w:r w:rsidR="006D1B49" w:rsidRPr="007762A2">
        <w:rPr>
          <w:b/>
          <w:bCs/>
        </w:rPr>
        <w:t xml:space="preserve"> (n=</w:t>
      </w:r>
      <w:r w:rsidR="005077AE" w:rsidRPr="007762A2">
        <w:rPr>
          <w:b/>
          <w:bCs/>
        </w:rPr>
        <w:t>154</w:t>
      </w:r>
      <w:r w:rsidR="006D1B49" w:rsidRPr="007762A2">
        <w:rPr>
          <w:b/>
          <w:bCs/>
        </w:rPr>
        <w:t>)</w:t>
      </w:r>
      <w:r w:rsidR="007762A2" w:rsidRPr="007762A2">
        <w:rPr>
          <w:b/>
          <w:bCs/>
        </w:rPr>
        <w:t xml:space="preserve"> and 43% progressed to an investigation (n=66),</w:t>
      </w:r>
      <w:r w:rsidR="002E5DE1" w:rsidRPr="007762A2">
        <w:rPr>
          <w:b/>
          <w:bCs/>
        </w:rPr>
        <w:t xml:space="preserve"> compared to 36% the year before</w:t>
      </w:r>
      <w:r w:rsidR="00592EFA" w:rsidRPr="007762A2">
        <w:rPr>
          <w:b/>
          <w:bCs/>
        </w:rPr>
        <w:t xml:space="preserve"> </w:t>
      </w:r>
      <w:r w:rsidR="004D091D" w:rsidRPr="007762A2">
        <w:rPr>
          <w:b/>
          <w:bCs/>
        </w:rPr>
        <w:t>(See Appendix A, Figure</w:t>
      </w:r>
      <w:r w:rsidRPr="007762A2">
        <w:rPr>
          <w:b/>
          <w:bCs/>
        </w:rPr>
        <w:t xml:space="preserve"> </w:t>
      </w:r>
      <w:r w:rsidR="005077AE" w:rsidRPr="007762A2">
        <w:rPr>
          <w:b/>
          <w:bCs/>
        </w:rPr>
        <w:t>10</w:t>
      </w:r>
      <w:r w:rsidR="00277CF1" w:rsidRPr="007762A2">
        <w:rPr>
          <w:b/>
          <w:bCs/>
        </w:rPr>
        <w:t xml:space="preserve"> and Table 5</w:t>
      </w:r>
      <w:r w:rsidR="004D091D" w:rsidRPr="007762A2">
        <w:rPr>
          <w:b/>
          <w:bCs/>
        </w:rPr>
        <w:t>)</w:t>
      </w:r>
      <w:r w:rsidR="00277CF1" w:rsidRPr="007762A2">
        <w:rPr>
          <w:b/>
          <w:bCs/>
        </w:rPr>
        <w:t xml:space="preserve">. </w:t>
      </w:r>
      <w:r w:rsidR="004D091D" w:rsidRPr="007762A2">
        <w:t>Reporting Parties have the right to choose how to take forward a disclosure</w:t>
      </w:r>
      <w:r w:rsidR="007762A2" w:rsidRPr="007762A2">
        <w:t xml:space="preserve"> as part of</w:t>
      </w:r>
      <w:r w:rsidR="007762A2">
        <w:t xml:space="preserve"> our trauma-informed and survivor-led approach. They</w:t>
      </w:r>
      <w:r w:rsidR="004D091D" w:rsidRPr="00990003">
        <w:t xml:space="preserve"> can report to the University,</w:t>
      </w:r>
      <w:r>
        <w:t xml:space="preserve"> to the</w:t>
      </w:r>
      <w:r w:rsidR="004D091D" w:rsidRPr="00990003">
        <w:t xml:space="preserve"> Police, </w:t>
      </w:r>
      <w:r>
        <w:t xml:space="preserve">to </w:t>
      </w:r>
      <w:r w:rsidR="004D091D" w:rsidRPr="00990003">
        <w:t>both</w:t>
      </w:r>
      <w:r>
        <w:t xml:space="preserve"> organisations</w:t>
      </w:r>
      <w:r w:rsidR="004D091D" w:rsidRPr="00990003">
        <w:t xml:space="preserve">, or seek support only. </w:t>
      </w:r>
      <w:r>
        <w:t xml:space="preserve">Some make initial reports and then choose not to proceed with an investigation (n=21) and in other instances reports are made, but the university cannot proceed with an investigation for the reasons shown in Table 5 (n=21). </w:t>
      </w:r>
      <w:r w:rsidR="00F01972" w:rsidRPr="00ED5CE4">
        <w:t xml:space="preserve">Some </w:t>
      </w:r>
      <w:r w:rsidR="004D091D" w:rsidRPr="00ED5CE4">
        <w:t xml:space="preserve">do not feel able to report for the reasons highlighted in </w:t>
      </w:r>
      <w:r w:rsidR="004D091D" w:rsidRPr="00ED5CE4">
        <w:rPr>
          <w:b/>
          <w:bCs/>
        </w:rPr>
        <w:t xml:space="preserve">Figure </w:t>
      </w:r>
      <w:r w:rsidR="00277CF1" w:rsidRPr="00ED5CE4">
        <w:rPr>
          <w:b/>
          <w:bCs/>
        </w:rPr>
        <w:t>9</w:t>
      </w:r>
      <w:r w:rsidRPr="00ED5CE4">
        <w:t xml:space="preserve"> –common reasons being </w:t>
      </w:r>
      <w:r w:rsidRPr="00ED5CE4">
        <w:rPr>
          <w:rFonts w:eastAsiaTheme="majorEastAsia" w:cstheme="majorBidi"/>
          <w:b/>
          <w:kern w:val="32"/>
        </w:rPr>
        <w:t xml:space="preserve">‘I cannot prove the behaviour took place,’ </w:t>
      </w:r>
      <w:r w:rsidRPr="00ED5CE4">
        <w:rPr>
          <w:rFonts w:eastAsiaTheme="majorEastAsia" w:cstheme="majorBidi"/>
          <w:bCs/>
          <w:kern w:val="32"/>
        </w:rPr>
        <w:t xml:space="preserve">and </w:t>
      </w:r>
      <w:r w:rsidRPr="00ED5CE4">
        <w:rPr>
          <w:rFonts w:eastAsiaTheme="majorEastAsia" w:cstheme="majorBidi"/>
          <w:b/>
          <w:kern w:val="32"/>
        </w:rPr>
        <w:t>‘I am worried the perpetrator would retaliate.’</w:t>
      </w:r>
    </w:p>
    <w:p w14:paraId="776C1651" w14:textId="7DA07D2B" w:rsidR="004D091D" w:rsidRPr="007762A2" w:rsidRDefault="00EE6D25" w:rsidP="00310DD8">
      <w:pPr>
        <w:pStyle w:val="NumberIndented"/>
        <w:rPr>
          <w:b/>
          <w:bCs/>
        </w:rPr>
      </w:pPr>
      <w:r w:rsidRPr="007762A2">
        <w:rPr>
          <w:b/>
          <w:bCs/>
        </w:rPr>
        <w:t>Disclosures</w:t>
      </w:r>
      <w:r w:rsidR="00571AD3" w:rsidRPr="007762A2">
        <w:rPr>
          <w:b/>
          <w:bCs/>
        </w:rPr>
        <w:t xml:space="preserve"> </w:t>
      </w:r>
      <w:r w:rsidRPr="007762A2">
        <w:rPr>
          <w:b/>
          <w:bCs/>
        </w:rPr>
        <w:t xml:space="preserve">related to staff sexual misconduct were </w:t>
      </w:r>
      <w:r w:rsidR="003E6192">
        <w:rPr>
          <w:b/>
          <w:bCs/>
        </w:rPr>
        <w:t>similar to the year before</w:t>
      </w:r>
      <w:r w:rsidRPr="007762A2">
        <w:rPr>
          <w:b/>
          <w:bCs/>
        </w:rPr>
        <w:t xml:space="preserve"> representing 8% of the disclosures received </w:t>
      </w:r>
      <w:r w:rsidR="007762A2" w:rsidRPr="007762A2">
        <w:rPr>
          <w:b/>
          <w:bCs/>
        </w:rPr>
        <w:t>(n=23),</w:t>
      </w:r>
      <w:r w:rsidRPr="007762A2">
        <w:rPr>
          <w:b/>
          <w:bCs/>
        </w:rPr>
        <w:t xml:space="preserve"> compared to </w:t>
      </w:r>
      <w:r w:rsidR="00C31326" w:rsidRPr="007762A2">
        <w:rPr>
          <w:b/>
          <w:bCs/>
        </w:rPr>
        <w:t>9</w:t>
      </w:r>
      <w:r w:rsidR="00F227BC" w:rsidRPr="007762A2">
        <w:rPr>
          <w:b/>
          <w:bCs/>
        </w:rPr>
        <w:t xml:space="preserve">% </w:t>
      </w:r>
      <w:r w:rsidR="003E6192">
        <w:rPr>
          <w:b/>
          <w:bCs/>
        </w:rPr>
        <w:t xml:space="preserve">in the previous year </w:t>
      </w:r>
      <w:r w:rsidR="00F227BC" w:rsidRPr="007762A2">
        <w:rPr>
          <w:b/>
          <w:bCs/>
        </w:rPr>
        <w:t>(</w:t>
      </w:r>
      <w:r w:rsidR="00F227BC" w:rsidRPr="007762A2">
        <w:rPr>
          <w:b/>
        </w:rPr>
        <w:t xml:space="preserve">See Appendix A, </w:t>
      </w:r>
      <w:r w:rsidR="00F227BC" w:rsidRPr="007762A2">
        <w:rPr>
          <w:b/>
          <w:bCs/>
        </w:rPr>
        <w:t>Table 1).</w:t>
      </w:r>
      <w:r w:rsidR="00E46304" w:rsidRPr="007762A2">
        <w:rPr>
          <w:b/>
          <w:bCs/>
        </w:rPr>
        <w:t xml:space="preserve"> </w:t>
      </w:r>
      <w:r w:rsidR="00E46304" w:rsidRPr="00107231">
        <w:t>Of these</w:t>
      </w:r>
      <w:r w:rsidR="00C714DC" w:rsidRPr="00107231">
        <w:t>,</w:t>
      </w:r>
      <w:r w:rsidR="00E46304" w:rsidRPr="00107231">
        <w:t xml:space="preserve"> </w:t>
      </w:r>
      <w:r w:rsidR="00107231" w:rsidRPr="00107231">
        <w:t>61</w:t>
      </w:r>
      <w:r w:rsidR="00E46304" w:rsidRPr="00107231">
        <w:t xml:space="preserve">% </w:t>
      </w:r>
      <w:r w:rsidR="00C714DC" w:rsidRPr="00107231">
        <w:t>of R</w:t>
      </w:r>
      <w:r w:rsidR="00E46304" w:rsidRPr="00107231">
        <w:t>esponding Part</w:t>
      </w:r>
      <w:r w:rsidR="00C714DC" w:rsidRPr="00107231">
        <w:t>ies</w:t>
      </w:r>
      <w:r w:rsidR="00C714DC" w:rsidRPr="00990003">
        <w:t xml:space="preserve"> were </w:t>
      </w:r>
      <w:r w:rsidR="007762A2">
        <w:t>in</w:t>
      </w:r>
      <w:r w:rsidR="00C714DC" w:rsidRPr="00990003">
        <w:t xml:space="preserve"> a position of power over the Reporting Party.</w:t>
      </w:r>
      <w:r w:rsidR="00E46304" w:rsidRPr="00990003">
        <w:t xml:space="preserve"> </w:t>
      </w:r>
      <w:r w:rsidR="00107231" w:rsidRPr="00117785">
        <w:t>61% of</w:t>
      </w:r>
      <w:r w:rsidR="00E46304" w:rsidRPr="00117785">
        <w:t xml:space="preserve"> disclosures </w:t>
      </w:r>
      <w:r w:rsidR="00107231" w:rsidRPr="00117785">
        <w:t>regarding staff sexual misconduct were made by student Reporting Parties</w:t>
      </w:r>
      <w:r w:rsidR="00E46304" w:rsidRPr="00117785">
        <w:t>.</w:t>
      </w:r>
      <w:r w:rsidR="007762A2">
        <w:t xml:space="preserve"> </w:t>
      </w:r>
      <w:r w:rsidR="00885CDB">
        <w:t xml:space="preserve">The </w:t>
      </w:r>
      <w:r w:rsidR="007762A2">
        <w:t>staff procedure</w:t>
      </w:r>
      <w:r w:rsidR="007762A2">
        <w:rPr>
          <w:rStyle w:val="FootnoteReference"/>
        </w:rPr>
        <w:footnoteReference w:id="4"/>
      </w:r>
      <w:r w:rsidR="007762A2">
        <w:t xml:space="preserve"> </w:t>
      </w:r>
      <w:r w:rsidR="00885CDB">
        <w:t xml:space="preserve">notes </w:t>
      </w:r>
      <w:r w:rsidR="007762A2">
        <w:t xml:space="preserve">this type of misconduct raises issues of unequal relationships, consent, and the prevention of equal access to education, opportunities and career progression. </w:t>
      </w:r>
      <w:r w:rsidR="00E46304" w:rsidRPr="00117785">
        <w:t xml:space="preserve"> </w:t>
      </w:r>
      <w:r w:rsidR="00FC34E5">
        <w:t>Along with non-consensual sexual conduct, staff and student sexual/intimate or romantic relationships are prohibited in many cases</w:t>
      </w:r>
      <w:r w:rsidR="00FC34E5">
        <w:rPr>
          <w:rStyle w:val="FootnoteReference"/>
        </w:rPr>
        <w:footnoteReference w:id="5"/>
      </w:r>
      <w:r w:rsidR="00FC34E5">
        <w:t>.</w:t>
      </w:r>
    </w:p>
    <w:p w14:paraId="68D50982" w14:textId="6A492FFA" w:rsidR="00107231" w:rsidRPr="00117785" w:rsidRDefault="00F16101" w:rsidP="00D0461D">
      <w:pPr>
        <w:pStyle w:val="NumberIndented"/>
        <w:rPr>
          <w:b/>
          <w:bCs/>
        </w:rPr>
      </w:pPr>
      <w:r w:rsidRPr="00117785">
        <w:rPr>
          <w:b/>
          <w:bCs/>
        </w:rPr>
        <w:t xml:space="preserve">High risk markers were present in </w:t>
      </w:r>
      <w:r w:rsidR="00107231" w:rsidRPr="00117785">
        <w:rPr>
          <w:b/>
          <w:bCs/>
        </w:rPr>
        <w:t>51</w:t>
      </w:r>
      <w:r w:rsidRPr="00117785">
        <w:rPr>
          <w:b/>
          <w:bCs/>
        </w:rPr>
        <w:t>% of</w:t>
      </w:r>
      <w:r w:rsidR="00571AD3">
        <w:rPr>
          <w:b/>
          <w:bCs/>
        </w:rPr>
        <w:t xml:space="preserve"> the </w:t>
      </w:r>
      <w:r w:rsidRPr="00117785">
        <w:rPr>
          <w:b/>
          <w:bCs/>
        </w:rPr>
        <w:t xml:space="preserve">disclosures recorded </w:t>
      </w:r>
      <w:r w:rsidR="00885CDB">
        <w:rPr>
          <w:b/>
          <w:bCs/>
        </w:rPr>
        <w:t xml:space="preserve">on the database </w:t>
      </w:r>
      <w:r w:rsidRPr="00117785">
        <w:rPr>
          <w:b/>
          <w:bCs/>
        </w:rPr>
        <w:t>(n=</w:t>
      </w:r>
      <w:r w:rsidR="00107231" w:rsidRPr="00117785">
        <w:rPr>
          <w:b/>
          <w:bCs/>
        </w:rPr>
        <w:t>237</w:t>
      </w:r>
      <w:r w:rsidR="00CD37C6" w:rsidRPr="00117785">
        <w:rPr>
          <w:b/>
          <w:bCs/>
        </w:rPr>
        <w:t xml:space="preserve">) </w:t>
      </w:r>
      <w:r w:rsidRPr="00117785">
        <w:rPr>
          <w:b/>
          <w:bCs/>
        </w:rPr>
        <w:t>which demonstrates a significant increase in high risk SMV impacting students and staff</w:t>
      </w:r>
      <w:r w:rsidR="00107231" w:rsidRPr="00117785">
        <w:rPr>
          <w:b/>
          <w:bCs/>
        </w:rPr>
        <w:t xml:space="preserve"> (</w:t>
      </w:r>
      <w:r w:rsidR="00107231" w:rsidRPr="00117785">
        <w:rPr>
          <w:b/>
        </w:rPr>
        <w:t xml:space="preserve">See Appendix A, </w:t>
      </w:r>
      <w:r w:rsidR="00107231" w:rsidRPr="00117785">
        <w:rPr>
          <w:b/>
          <w:bCs/>
        </w:rPr>
        <w:t>Figure 8)</w:t>
      </w:r>
      <w:r w:rsidRPr="00117785">
        <w:rPr>
          <w:b/>
          <w:bCs/>
        </w:rPr>
        <w:t>.</w:t>
      </w:r>
      <w:r w:rsidRPr="00117785">
        <w:t xml:space="preserve"> </w:t>
      </w:r>
      <w:r w:rsidR="004F45DA" w:rsidRPr="00117785">
        <w:t>In the previous year</w:t>
      </w:r>
      <w:r w:rsidR="00C31326" w:rsidRPr="00117785">
        <w:t>, 43</w:t>
      </w:r>
      <w:r w:rsidR="004F45DA" w:rsidRPr="00117785">
        <w:t>% of disclosures featured high risk markers.</w:t>
      </w:r>
      <w:r w:rsidR="004F45DA" w:rsidRPr="00117785">
        <w:rPr>
          <w:b/>
          <w:bCs/>
        </w:rPr>
        <w:t xml:space="preserve"> </w:t>
      </w:r>
      <w:r w:rsidR="00107231" w:rsidRPr="00117785">
        <w:t xml:space="preserve">For anonymous reports (n=37), we are unable to </w:t>
      </w:r>
      <w:r w:rsidR="00885CDB">
        <w:t>assess</w:t>
      </w:r>
      <w:r w:rsidR="00107231" w:rsidRPr="00117785">
        <w:t xml:space="preserve"> </w:t>
      </w:r>
      <w:r w:rsidR="00885CDB">
        <w:t>risk</w:t>
      </w:r>
      <w:r w:rsidR="00107231" w:rsidRPr="00117785">
        <w:t xml:space="preserve">. The most common </w:t>
      </w:r>
      <w:r w:rsidR="003E78F3" w:rsidRPr="00117785">
        <w:t>high risk</w:t>
      </w:r>
      <w:r w:rsidR="00107231" w:rsidRPr="00117785">
        <w:t xml:space="preserve"> markers recorded were </w:t>
      </w:r>
      <w:r w:rsidR="00571AD3">
        <w:t>that the Responding Party was a</w:t>
      </w:r>
      <w:r w:rsidR="00107231" w:rsidRPr="00117785">
        <w:t xml:space="preserve"> stranger (22%), a serial perpetrator (18%), </w:t>
      </w:r>
      <w:r w:rsidR="00571AD3">
        <w:t xml:space="preserve">had used </w:t>
      </w:r>
      <w:r w:rsidR="00107231" w:rsidRPr="00117785">
        <w:t xml:space="preserve">additional physical violence (strangulation counted separately) (15%), </w:t>
      </w:r>
      <w:r w:rsidR="00571AD3">
        <w:t xml:space="preserve">caused </w:t>
      </w:r>
      <w:r w:rsidR="00107231" w:rsidRPr="00117785">
        <w:t>physical injury</w:t>
      </w:r>
      <w:r w:rsidR="003E78F3" w:rsidRPr="00117785">
        <w:t xml:space="preserve"> </w:t>
      </w:r>
      <w:r w:rsidR="00571AD3">
        <w:t>to the Reporting Party</w:t>
      </w:r>
      <w:r w:rsidR="00107231" w:rsidRPr="00117785">
        <w:t xml:space="preserve"> (8%), abuse</w:t>
      </w:r>
      <w:r w:rsidR="00571AD3">
        <w:t>d</w:t>
      </w:r>
      <w:r w:rsidR="00107231" w:rsidRPr="00117785">
        <w:t xml:space="preserve"> </w:t>
      </w:r>
      <w:r w:rsidR="00571AD3">
        <w:t>their position of power</w:t>
      </w:r>
      <w:r w:rsidR="00107231" w:rsidRPr="00117785">
        <w:t xml:space="preserve"> (8%), and</w:t>
      </w:r>
      <w:r w:rsidR="00571AD3">
        <w:t>/or used</w:t>
      </w:r>
      <w:r w:rsidR="00107231" w:rsidRPr="00117785">
        <w:t xml:space="preserve"> non-fatal strangulation (7%)</w:t>
      </w:r>
      <w:r w:rsidR="00571AD3">
        <w:t xml:space="preserve"> against the Reporting Party</w:t>
      </w:r>
      <w:r w:rsidR="00107231" w:rsidRPr="00117785">
        <w:t>. These cases highlight the importance of ensuring all SMV disclosures are shared with the specialist SMV case managers</w:t>
      </w:r>
      <w:r w:rsidR="00107231" w:rsidRPr="00117785">
        <w:rPr>
          <w:rStyle w:val="FootnoteReference"/>
        </w:rPr>
        <w:footnoteReference w:id="6"/>
      </w:r>
      <w:r w:rsidR="00107231" w:rsidRPr="00117785">
        <w:t xml:space="preserve"> who are skilled and experienced in conducting risk assessments to ensure appropriate safeguarding and referral pathways are followed and that trauma-informed investigators conduct SMV investigations. </w:t>
      </w:r>
    </w:p>
    <w:p w14:paraId="41FEABD0" w14:textId="4D04EF5D" w:rsidR="006F422E" w:rsidRPr="00117785" w:rsidRDefault="00247A40" w:rsidP="00D0461D">
      <w:pPr>
        <w:pStyle w:val="NumberIndented"/>
      </w:pPr>
      <w:r w:rsidRPr="00117785">
        <w:rPr>
          <w:b/>
          <w:bCs/>
        </w:rPr>
        <w:t xml:space="preserve">The timescale for completing investigations into reports against students under the SMV Policy </w:t>
      </w:r>
      <w:r w:rsidR="005E7CBB" w:rsidRPr="00117785">
        <w:rPr>
          <w:b/>
          <w:bCs/>
        </w:rPr>
        <w:t xml:space="preserve">during the </w:t>
      </w:r>
      <w:r w:rsidR="00CB6420" w:rsidRPr="00117785">
        <w:rPr>
          <w:b/>
          <w:bCs/>
        </w:rPr>
        <w:t>2022/23</w:t>
      </w:r>
      <w:r w:rsidR="005E7CBB" w:rsidRPr="00117785">
        <w:rPr>
          <w:b/>
          <w:bCs/>
        </w:rPr>
        <w:t xml:space="preserve"> academic year </w:t>
      </w:r>
      <w:r w:rsidR="003E78F3" w:rsidRPr="00117785">
        <w:rPr>
          <w:b/>
          <w:bCs/>
        </w:rPr>
        <w:t xml:space="preserve">matched the previous year at </w:t>
      </w:r>
      <w:r w:rsidR="00CB6420" w:rsidRPr="00117785">
        <w:rPr>
          <w:b/>
          <w:bCs/>
        </w:rPr>
        <w:t>124</w:t>
      </w:r>
      <w:r w:rsidR="005E7CBB" w:rsidRPr="00117785">
        <w:rPr>
          <w:b/>
          <w:bCs/>
        </w:rPr>
        <w:t xml:space="preserve"> calendar days </w:t>
      </w:r>
      <w:r w:rsidR="00F227BC" w:rsidRPr="00117785">
        <w:rPr>
          <w:b/>
        </w:rPr>
        <w:t>(See Appendix A, Table 5)</w:t>
      </w:r>
      <w:r w:rsidRPr="00117785">
        <w:rPr>
          <w:b/>
          <w:bCs/>
        </w:rPr>
        <w:t>.</w:t>
      </w:r>
      <w:r w:rsidRPr="00117785">
        <w:t xml:space="preserve"> </w:t>
      </w:r>
      <w:r w:rsidR="005E7CBB" w:rsidRPr="00117785">
        <w:t>The explanation for this is a combination of factors including</w:t>
      </w:r>
      <w:r w:rsidR="00F16101" w:rsidRPr="00117785">
        <w:t>:</w:t>
      </w:r>
      <w:r w:rsidR="005E7CBB" w:rsidRPr="00117785">
        <w:t xml:space="preserve"> 1) Reporting/Responding Party delays in participating in investigations due to physical/mental health reasons, 2) </w:t>
      </w:r>
      <w:r w:rsidR="003E78F3" w:rsidRPr="00117785">
        <w:t xml:space="preserve">staff turnover which </w:t>
      </w:r>
      <w:r w:rsidR="005E7CBB" w:rsidRPr="00117785">
        <w:t>impacted resource and efficiency within the S</w:t>
      </w:r>
      <w:r w:rsidR="006D1B49" w:rsidRPr="00117785">
        <w:t>CO</w:t>
      </w:r>
      <w:r w:rsidR="005E7CBB" w:rsidRPr="00117785">
        <w:t xml:space="preserve">, 3) pausing an investigation when a police investigation started, and 4) in some cases, having to delay an investigation due to a student’s status changing before or during the investigation. </w:t>
      </w:r>
      <w:r w:rsidR="003E6192">
        <w:t>The Office of the Independent Adjudicator for Higher Education recommend that investigations, “</w:t>
      </w:r>
      <w:r w:rsidR="003E6192" w:rsidRPr="003E6192">
        <w:t xml:space="preserve">Are </w:t>
      </w:r>
      <w:r w:rsidR="003E6192" w:rsidRPr="003E6192">
        <w:lastRenderedPageBreak/>
        <w:t>concluded as quickly as possible, and normally within 90 calendar days of the start of the investigation</w:t>
      </w:r>
      <w:r w:rsidR="003E6192">
        <w:t>,” (2018, p. 6).</w:t>
      </w:r>
    </w:p>
    <w:p w14:paraId="3F5E1AE4" w14:textId="14C27532" w:rsidR="00F52FD4" w:rsidRPr="00F52FD4" w:rsidRDefault="00592EFA" w:rsidP="00885CDB">
      <w:pPr>
        <w:pStyle w:val="NumberIndented"/>
        <w:numPr>
          <w:ilvl w:val="0"/>
          <w:numId w:val="0"/>
        </w:numPr>
        <w:ind w:left="567"/>
      </w:pPr>
      <w:r w:rsidRPr="00885CDB">
        <w:rPr>
          <w:b/>
          <w:bCs/>
          <w:u w:val="single"/>
        </w:rPr>
        <w:t>University Action in Response to these trends</w:t>
      </w:r>
      <w:r w:rsidRPr="00117785">
        <w:rPr>
          <w:b/>
          <w:bCs/>
        </w:rPr>
        <w:t xml:space="preserve"> </w:t>
      </w:r>
    </w:p>
    <w:p w14:paraId="485F2BEF" w14:textId="6DAFE0C6" w:rsidR="00F52FD4" w:rsidRDefault="00F52FD4" w:rsidP="00D0461D">
      <w:pPr>
        <w:pStyle w:val="NumberIndented"/>
      </w:pPr>
      <w:r w:rsidRPr="00571AD3">
        <w:rPr>
          <w:b/>
          <w:bCs/>
        </w:rPr>
        <w:t>The Sexual Misconduct and Violence Policy has been reviewed and proposed changes have been made which are currently under consultation.</w:t>
      </w:r>
      <w:r>
        <w:t xml:space="preserve"> Included in the proposed changes are 1) improved definitions of sexual misconduct and violence including</w:t>
      </w:r>
      <w:r w:rsidR="00885CDB">
        <w:t>, but not limited to,</w:t>
      </w:r>
      <w:r>
        <w:t xml:space="preserve"> clearer definition</w:t>
      </w:r>
      <w:r w:rsidR="00885CDB">
        <w:t>s</w:t>
      </w:r>
      <w:r>
        <w:t xml:space="preserve"> f</w:t>
      </w:r>
      <w:r w:rsidRPr="00571AD3">
        <w:t xml:space="preserve">or stalking </w:t>
      </w:r>
      <w:r w:rsidR="00571AD3" w:rsidRPr="00571AD3">
        <w:t xml:space="preserve">and sexual harassment </w:t>
      </w:r>
      <w:r w:rsidRPr="00571AD3">
        <w:t xml:space="preserve">to better communicate what behaviours are not tolerated </w:t>
      </w:r>
      <w:r w:rsidR="000C18E6" w:rsidRPr="00571AD3">
        <w:t>at the University and an addition</w:t>
      </w:r>
      <w:r w:rsidR="00571AD3">
        <w:t>al type of misconduct to cover</w:t>
      </w:r>
      <w:r w:rsidR="000C18E6" w:rsidRPr="00571AD3">
        <w:t xml:space="preserve"> the use </w:t>
      </w:r>
      <w:r w:rsidR="000C18E6">
        <w:t xml:space="preserve">of force, e.g., strangulation; 2) improved definition of consent with more explanation on what is meant by freedom, capacity and choice; and 3) added conduct expectations for staff, students, and visitors. </w:t>
      </w:r>
    </w:p>
    <w:p w14:paraId="59339CF8" w14:textId="02F3409D" w:rsidR="000C18E6" w:rsidRDefault="00C11CA5" w:rsidP="00D0461D">
      <w:pPr>
        <w:pStyle w:val="NumberIndented"/>
      </w:pPr>
      <w:r>
        <w:t xml:space="preserve">The Sexual Misconduct and Violence Operations Group was replaced by the </w:t>
      </w:r>
      <w:r w:rsidRPr="00571AD3">
        <w:rPr>
          <w:b/>
          <w:bCs/>
        </w:rPr>
        <w:t>Sexual Misconduct and Violence Management Group (SMVMG</w:t>
      </w:r>
      <w:r w:rsidR="00802135">
        <w:rPr>
          <w:b/>
          <w:bCs/>
        </w:rPr>
        <w:t>)</w:t>
      </w:r>
      <w:r>
        <w:t>.</w:t>
      </w:r>
      <w:r w:rsidR="00280D1A">
        <w:t xml:space="preserve"> SMVG is Chaired by the Director of Student Support and Wellbeing and reports to the Pro Vice Chancellor Colleges and Student Experience.</w:t>
      </w:r>
      <w:r>
        <w:t xml:space="preserve"> The focus of the SMVMG </w:t>
      </w:r>
      <w:r w:rsidR="00280D1A">
        <w:t xml:space="preserve">this year </w:t>
      </w:r>
      <w:r>
        <w:t xml:space="preserve">has been on prevention and improving engagement on </w:t>
      </w:r>
      <w:r w:rsidR="00571AD3">
        <w:t xml:space="preserve">the </w:t>
      </w:r>
      <w:r w:rsidR="00571AD3" w:rsidRPr="00117785">
        <w:rPr>
          <w:bCs/>
        </w:rPr>
        <w:t xml:space="preserve">comprehensive </w:t>
      </w:r>
      <w:r w:rsidR="00571AD3" w:rsidRPr="00802135">
        <w:rPr>
          <w:bCs/>
          <w:i/>
          <w:iCs/>
        </w:rPr>
        <w:t>SMV: Prevention and Response Training Programme</w:t>
      </w:r>
      <w:r w:rsidR="00571AD3" w:rsidRPr="00117785">
        <w:rPr>
          <w:bCs/>
        </w:rPr>
        <w:t xml:space="preserve"> for students and staff</w:t>
      </w:r>
      <w:r w:rsidR="00571AD3">
        <w:rPr>
          <w:bCs/>
        </w:rPr>
        <w:t>,</w:t>
      </w:r>
      <w:r w:rsidR="00571AD3">
        <w:t xml:space="preserve"> e.g., improving completion rates for the required learning courses</w:t>
      </w:r>
      <w:r>
        <w:t xml:space="preserve"> (see </w:t>
      </w:r>
      <w:r w:rsidRPr="00571AD3">
        <w:rPr>
          <w:b/>
          <w:bCs/>
        </w:rPr>
        <w:t>Appendices C and D</w:t>
      </w:r>
      <w:r>
        <w:t>).</w:t>
      </w:r>
    </w:p>
    <w:p w14:paraId="5E701381" w14:textId="1B78C519" w:rsidR="00C11CA5" w:rsidRDefault="00C11CA5" w:rsidP="00D0461D">
      <w:pPr>
        <w:pStyle w:val="NumberIndented"/>
      </w:pPr>
      <w:r>
        <w:t xml:space="preserve">The </w:t>
      </w:r>
      <w:r w:rsidR="00802135">
        <w:t>Student Conduct Office</w:t>
      </w:r>
      <w:r>
        <w:t xml:space="preserve"> has </w:t>
      </w:r>
      <w:r w:rsidRPr="00802135">
        <w:rPr>
          <w:b/>
          <w:bCs/>
        </w:rPr>
        <w:t>invested in the gold membership for the Report + Support platform</w:t>
      </w:r>
      <w:r w:rsidR="00571AD3">
        <w:t>. This investment will support case management</w:t>
      </w:r>
      <w:r w:rsidR="007A4CD9">
        <w:t xml:space="preserve"> providing additional tools that assist with</w:t>
      </w:r>
      <w:r w:rsidR="00802135">
        <w:t xml:space="preserve"> risk assessment, name matching to identify potential serial perpetration, and linking cases. </w:t>
      </w:r>
      <w:r w:rsidR="007A4CD9">
        <w:t>It provides additional tools for analysing case data</w:t>
      </w:r>
      <w:r w:rsidR="00802135">
        <w:t xml:space="preserve"> to identify trends more easily</w:t>
      </w:r>
      <w:r w:rsidR="007A4CD9">
        <w:t xml:space="preserve">. </w:t>
      </w:r>
      <w:r w:rsidR="00802135">
        <w:t>To</w:t>
      </w:r>
      <w:r w:rsidR="007A4CD9">
        <w:t xml:space="preserve"> aid with prevention and awareness raising,</w:t>
      </w:r>
      <w:r w:rsidR="00802135">
        <w:t xml:space="preserve"> this investment gives the University access to campaign assets and strategies to promote R+S, raise awareness of SMV, and promote active bystander intervention. Finally, the investment includes access to continued professional development opportunities through the Community of Practice events where relevant staff across the </w:t>
      </w:r>
      <w:r w:rsidR="00930ABF">
        <w:t xml:space="preserve">University </w:t>
      </w:r>
      <w:r w:rsidR="00802135">
        <w:t xml:space="preserve">that are supporting these issues can </w:t>
      </w:r>
      <w:r w:rsidR="00930ABF">
        <w:t xml:space="preserve">develop their knowledge and skills. </w:t>
      </w:r>
      <w:r w:rsidR="00802135">
        <w:t xml:space="preserve"> </w:t>
      </w:r>
      <w:r w:rsidR="007A4CD9">
        <w:t xml:space="preserve"> </w:t>
      </w:r>
    </w:p>
    <w:p w14:paraId="7B04FC01" w14:textId="77777777" w:rsidR="00921997" w:rsidRDefault="002E1ED8" w:rsidP="00921997">
      <w:pPr>
        <w:pStyle w:val="TextunderNumbered"/>
      </w:pPr>
      <w:r w:rsidRPr="00990003">
        <w:rPr>
          <w:b/>
          <w:bCs/>
        </w:rPr>
        <w:t xml:space="preserve">Strategic Context: </w:t>
      </w:r>
      <w:r w:rsidR="007903C2" w:rsidRPr="00990003">
        <w:t>The strategic vision set by the</w:t>
      </w:r>
      <w:r w:rsidR="007903C2" w:rsidRPr="00990003">
        <w:rPr>
          <w:b/>
          <w:bCs/>
        </w:rPr>
        <w:t xml:space="preserve"> </w:t>
      </w:r>
      <w:r w:rsidR="00B678E3" w:rsidRPr="00990003">
        <w:t xml:space="preserve">Sexual Violence Task Force </w:t>
      </w:r>
      <w:r w:rsidR="007903C2" w:rsidRPr="00990003">
        <w:t xml:space="preserve">remains unchanged – for Durham to be </w:t>
      </w:r>
      <w:r w:rsidR="00B678E3" w:rsidRPr="00990003">
        <w:t>“</w:t>
      </w:r>
      <w:r w:rsidR="00B678E3" w:rsidRPr="00990003">
        <w:rPr>
          <w:i/>
        </w:rPr>
        <w:t>a University community where survivors are supported while we strive to eliminate sexual violence</w:t>
      </w:r>
      <w:r w:rsidR="00B678E3" w:rsidRPr="00990003">
        <w:t xml:space="preserve">.” </w:t>
      </w:r>
      <w:r w:rsidR="00930ABF" w:rsidRPr="00930ABF">
        <w:t xml:space="preserve">The Sexual Misconduct and Violence Management Group </w:t>
      </w:r>
      <w:r w:rsidR="00930ABF">
        <w:t xml:space="preserve">is responsible for reviewing and monitoring </w:t>
      </w:r>
      <w:r w:rsidR="00930ABF" w:rsidRPr="00930ABF">
        <w:t xml:space="preserve">the University’s approach to issues of </w:t>
      </w:r>
      <w:r w:rsidR="00930ABF">
        <w:t>SMV</w:t>
      </w:r>
      <w:r w:rsidR="00930ABF" w:rsidRPr="00930ABF">
        <w:t>, including evaluation and review of policy, procedures, and training, and assurance reporting. Preventing and responding to SMV helps ensure that staff and students are treated equally, fairly and with respect and aims to provide students with a wider student experience that is as good as any in the world by ensuring students can access their studies free from harassment, discrimination and violence.</w:t>
      </w:r>
      <w:r w:rsidR="00921997" w:rsidRPr="00921997">
        <w:t xml:space="preserve"> </w:t>
      </w:r>
    </w:p>
    <w:p w14:paraId="66D4048E" w14:textId="4FCCB33D" w:rsidR="00921997" w:rsidRPr="00921997" w:rsidRDefault="00921997" w:rsidP="00921997">
      <w:pPr>
        <w:pStyle w:val="TextunderNumbered"/>
      </w:pPr>
      <w:r w:rsidRPr="00921997">
        <w:rPr>
          <w:b/>
          <w:bCs/>
        </w:rPr>
        <w:t>Financial &amp; Resource Implications:</w:t>
      </w:r>
      <w:r w:rsidRPr="00921997">
        <w:t xml:space="preserve"> Based on the identified trends it is highly recommended that the University prioritise and invest in prevention focussed initiatives. SMV and other forms of gender-based violence are costly to our community in impact on the individual (emotional, psychological, physical and practical effects), the wider University community, and staff resource and time. It is a much better investment to focus on prevention to prevent harm from being caused than to focus primarily on response. However, this paper makes no direct request for additional funding. It is noted that resource for responding to SMV and engaging in culture change and prevention initiatives remains critical. Investigations into reports of potential breaches of the SMV Policy require staff time and expertise for specialist case management, risk assessment, support for Reporting and Responding Parties, and trauma-informed investigations and disciplinary proceedings. Prevention and response training is crucial, and the aim is to improve staff and student engagement in training – an action identified by the SMV Management Group during the 2023/24 academic year. </w:t>
      </w:r>
    </w:p>
    <w:p w14:paraId="07D1D505" w14:textId="2C85DD85" w:rsidR="00930ABF" w:rsidRDefault="00921997" w:rsidP="00921997">
      <w:pPr>
        <w:pStyle w:val="TextunderNumbered"/>
      </w:pPr>
      <w:r w:rsidRPr="00921997">
        <w:rPr>
          <w:b/>
          <w:bCs/>
        </w:rPr>
        <w:lastRenderedPageBreak/>
        <w:t>Risk:</w:t>
      </w:r>
      <w:r w:rsidRPr="00921997">
        <w:t xml:space="preserve"> SMV is currently identified as a risk factor on the Strategic Risk Register under SR08 Student Wellbeing, although it is important to note this is not a student only issue. The University has dedicated resource to prevention and response initiatives since the findings of the Sexual Violence Task Force in 2015/16. This paper demonstrates that there is still much to be done to address SMV withing the University community. There is always risk of resistance  to prevention and response initiatives for SMV (e.g., denial, inaction, repression, appeasement) at the individual and organisational level. It is recommended that these risks are reviewed and a plan of how to mitigate for them to make prevention and response initiatives more successful.</w:t>
      </w:r>
    </w:p>
    <w:p w14:paraId="5464E5BE" w14:textId="34FC4343" w:rsidR="00921997" w:rsidRPr="00930ABF" w:rsidRDefault="00921997" w:rsidP="00510855">
      <w:pPr>
        <w:pStyle w:val="TextunderNumbered"/>
      </w:pPr>
      <w:r w:rsidRPr="0031605D">
        <w:rPr>
          <w:b/>
          <w:bCs/>
        </w:rPr>
        <w:t>Legal, Regulatory, Policy or OfS Compliance:</w:t>
      </w:r>
      <w:r w:rsidRPr="00921997">
        <w:t xml:space="preserve"> The OfS’s (2021) Statement of expectations for preventing and addressing harassment and sexual misconduct affecting students in Higher Education has 7 expectations universities are asked to meet. These expectations are built on the principle that “all students registered at a provider, however and wherever they may be studying, should be protected from harassment and sexual misconduct from other students, staff and visitors” (para 2). This annual trend monitoring reports supports Expectation 2(b).</w:t>
      </w:r>
      <w:r w:rsidR="003E6192">
        <w:t xml:space="preserve"> </w:t>
      </w:r>
      <w:r w:rsidR="0031605D">
        <w:t xml:space="preserve">In February 2023, the OfS launched a consultation on tackling harassment and sexual misconduct namely </w:t>
      </w:r>
      <w:r w:rsidR="0031605D" w:rsidRPr="0031605D">
        <w:t>proposing a new condition of registration to address harassment and sexual misconduct.</w:t>
      </w:r>
      <w:r w:rsidR="0031605D">
        <w:t xml:space="preserve"> Durham responded to this consultation. It is expected that the OfS will publish the outcome of the consultation and possible new regulatory requirements in May/June 2024. </w:t>
      </w:r>
      <w:r w:rsidRPr="00921997">
        <w:t>In addition, universities are required as part of the Public Sector Equality Duty under the Equality Act 2010 to ensure that students and staff can study and work in environments free from discrimination and harassment.</w:t>
      </w:r>
    </w:p>
    <w:p w14:paraId="4E0A7FD8" w14:textId="5E1314EF" w:rsidR="0016685E" w:rsidRPr="00990003" w:rsidRDefault="0016685E" w:rsidP="00BD49E3">
      <w:pPr>
        <w:pStyle w:val="NumberedHeading"/>
      </w:pPr>
      <w:r w:rsidRPr="00990003">
        <w:t>Consultation</w:t>
      </w:r>
      <w:r w:rsidR="00FD5E4A" w:rsidRPr="00990003">
        <w:t xml:space="preserve"> and previous committee consideration</w:t>
      </w:r>
    </w:p>
    <w:p w14:paraId="23875F0B" w14:textId="21CF331B" w:rsidR="00AF037D" w:rsidRPr="00990003" w:rsidRDefault="000650F3" w:rsidP="00BD49E3">
      <w:pPr>
        <w:pStyle w:val="TextunderNumbered"/>
      </w:pPr>
      <w:r w:rsidRPr="00990003">
        <w:t>The data for this paper was gathered from the following areas of the University: the Student Conduct Office</w:t>
      </w:r>
      <w:r w:rsidR="00B239AB" w:rsidRPr="00990003">
        <w:t xml:space="preserve"> (primary source)</w:t>
      </w:r>
      <w:r w:rsidRPr="00990003">
        <w:t xml:space="preserve">, </w:t>
      </w:r>
      <w:r w:rsidR="00B239AB" w:rsidRPr="00990003">
        <w:t>the Equality, Inclusion and Diversity Unit (who manage the Report + Support platform), the Counselling and Mental Health Servic</w:t>
      </w:r>
      <w:r w:rsidR="00F736C4" w:rsidRPr="00990003">
        <w:t>e</w:t>
      </w:r>
      <w:r w:rsidR="00B239AB" w:rsidRPr="00990003">
        <w:t>,</w:t>
      </w:r>
      <w:r w:rsidR="00CB6420">
        <w:t xml:space="preserve"> and</w:t>
      </w:r>
      <w:r w:rsidR="00B239AB" w:rsidRPr="00990003">
        <w:t xml:space="preserve"> the Rape and Sexual Abuse Counselling </w:t>
      </w:r>
      <w:r w:rsidR="00F736C4" w:rsidRPr="00990003">
        <w:t>Centre</w:t>
      </w:r>
      <w:r w:rsidR="00CB6420">
        <w:t>.</w:t>
      </w:r>
      <w:r w:rsidR="00F736C4" w:rsidRPr="00990003">
        <w:t xml:space="preserve"> </w:t>
      </w:r>
      <w:r w:rsidR="00CB6420">
        <w:t>In previous years, this report has included information from Durham Students’ Union who manage the online Pincident reporting platform. However, no reports were made on Pincident during the 2022/23 academic year.</w:t>
      </w:r>
    </w:p>
    <w:p w14:paraId="1FE9F35F" w14:textId="06723400" w:rsidR="0016685E" w:rsidRPr="00990003" w:rsidRDefault="00080E3B" w:rsidP="00F82E0C">
      <w:pPr>
        <w:pStyle w:val="NumberedHeading"/>
      </w:pPr>
      <w:r w:rsidRPr="00990003">
        <w:t>N</w:t>
      </w:r>
      <w:r w:rsidR="0016685E" w:rsidRPr="00990003">
        <w:t>ext Steps</w:t>
      </w:r>
    </w:p>
    <w:p w14:paraId="3CDBEEB4" w14:textId="65D42B73" w:rsidR="00562D3C" w:rsidRPr="00990003" w:rsidRDefault="00562D3C" w:rsidP="00F82E0C">
      <w:pPr>
        <w:pStyle w:val="TextunderNumbered"/>
      </w:pPr>
      <w:r w:rsidRPr="00990003">
        <w:t>The reported data of disclosures and reports made by students and</w:t>
      </w:r>
      <w:r w:rsidR="00C902CD" w:rsidRPr="00990003">
        <w:t xml:space="preserve"> employees</w:t>
      </w:r>
      <w:r w:rsidRPr="00990003">
        <w:t xml:space="preserve"> of any form of </w:t>
      </w:r>
      <w:r w:rsidR="0091266D">
        <w:t>SMV</w:t>
      </w:r>
      <w:r w:rsidRPr="00990003">
        <w:t xml:space="preserve"> will continue to be collected, monitored and analysed on an annual basis to inform university-wide prevention and response initiatives. </w:t>
      </w:r>
    </w:p>
    <w:p w14:paraId="33C1971A" w14:textId="6ADBD40D" w:rsidR="00562D3C" w:rsidRPr="00990003" w:rsidRDefault="00F65E7D" w:rsidP="00F82E0C">
      <w:pPr>
        <w:pStyle w:val="TextunderNumbered"/>
        <w:rPr>
          <w:rFonts w:eastAsiaTheme="majorEastAsia" w:cstheme="majorBidi"/>
          <w:b/>
          <w:bCs/>
          <w:color w:val="68246D"/>
          <w:kern w:val="32"/>
        </w:rPr>
      </w:pPr>
      <w:r w:rsidRPr="00990003">
        <w:t xml:space="preserve">This report in full will be </w:t>
      </w:r>
      <w:r w:rsidRPr="00911C73">
        <w:t>shared with Audit and Risk Committee</w:t>
      </w:r>
      <w:r w:rsidR="00911C73" w:rsidRPr="00911C73">
        <w:t xml:space="preserve">, </w:t>
      </w:r>
      <w:r w:rsidRPr="00911C73">
        <w:t>Senate</w:t>
      </w:r>
      <w:r w:rsidR="00911C73" w:rsidRPr="00911C73">
        <w:t>,</w:t>
      </w:r>
      <w:r w:rsidRPr="00911C73">
        <w:t xml:space="preserve"> and Council</w:t>
      </w:r>
      <w:r w:rsidR="00562D3C" w:rsidRPr="00911C73">
        <w:t xml:space="preserve"> </w:t>
      </w:r>
      <w:r w:rsidRPr="00911C73">
        <w:t>for assurance purposes in line with expectations set by the Office for Students (2021).</w:t>
      </w:r>
      <w:r w:rsidRPr="00990003">
        <w:t xml:space="preserve"> </w:t>
      </w:r>
      <w:r w:rsidR="00562D3C" w:rsidRPr="00990003">
        <w:br w:type="page"/>
      </w:r>
    </w:p>
    <w:p w14:paraId="19D7B5F1" w14:textId="63EDCE28" w:rsidR="00562D3C" w:rsidRPr="00990003" w:rsidRDefault="00562D3C" w:rsidP="00562D3C">
      <w:pPr>
        <w:pStyle w:val="NumberedHeading"/>
        <w:numPr>
          <w:ilvl w:val="0"/>
          <w:numId w:val="0"/>
        </w:numPr>
        <w:ind w:left="567" w:hanging="567"/>
      </w:pPr>
      <w:r w:rsidRPr="00990003">
        <w:lastRenderedPageBreak/>
        <w:t>Appendix A</w:t>
      </w:r>
    </w:p>
    <w:p w14:paraId="27CC929F" w14:textId="77777777" w:rsidR="007E704E" w:rsidRPr="00D90A98" w:rsidRDefault="00562D3C" w:rsidP="007E704E">
      <w:pPr>
        <w:pStyle w:val="TextunderNumbered"/>
        <w:numPr>
          <w:ilvl w:val="0"/>
          <w:numId w:val="0"/>
        </w:numPr>
        <w:ind w:left="567" w:hanging="567"/>
        <w:jc w:val="center"/>
        <w:rPr>
          <w:b/>
        </w:rPr>
      </w:pPr>
      <w:r w:rsidRPr="00990003">
        <w:t xml:space="preserve"> </w:t>
      </w:r>
      <w:r w:rsidR="007E704E" w:rsidRPr="00D90A98">
        <w:rPr>
          <w:b/>
        </w:rPr>
        <w:t>Disclosures and Reports of Sexual Misconduct and Violence: Data and Discussion</w:t>
      </w:r>
    </w:p>
    <w:p w14:paraId="6E2198F4" w14:textId="7BFF82C0" w:rsidR="007E704E" w:rsidRDefault="007E704E" w:rsidP="007E704E">
      <w:pPr>
        <w:shd w:val="clear" w:color="auto" w:fill="FFFFFF"/>
        <w:rPr>
          <w:rFonts w:cs="Arial"/>
        </w:rPr>
      </w:pPr>
      <w:r w:rsidRPr="00D90A98">
        <w:rPr>
          <w:rFonts w:cs="Arial"/>
        </w:rPr>
        <w:t xml:space="preserve">This appendix provides data on disclosures and reports of sexual misconduct and violence (SMV) and related policy breaches as defined in section </w:t>
      </w:r>
      <w:r w:rsidR="00E67CFC" w:rsidRPr="00D90A98">
        <w:rPr>
          <w:rFonts w:cs="Arial"/>
        </w:rPr>
        <w:t>4</w:t>
      </w:r>
      <w:r w:rsidRPr="00D90A98">
        <w:rPr>
          <w:rFonts w:cs="Arial"/>
        </w:rPr>
        <w:t xml:space="preserve"> of the </w:t>
      </w:r>
      <w:r w:rsidRPr="00D90A98">
        <w:rPr>
          <w:rFonts w:cs="Arial"/>
          <w:i/>
          <w:iCs/>
        </w:rPr>
        <w:t>Sexual Misconduct and Violence Policy</w:t>
      </w:r>
      <w:r w:rsidRPr="00D90A98">
        <w:rPr>
          <w:rStyle w:val="FootnoteReference"/>
          <w:rFonts w:cs="Arial"/>
        </w:rPr>
        <w:footnoteReference w:id="7"/>
      </w:r>
      <w:r w:rsidRPr="00D90A98">
        <w:rPr>
          <w:rFonts w:cs="Arial"/>
        </w:rPr>
        <w:t xml:space="preserve"> (SMV Policy) received during the </w:t>
      </w:r>
      <w:r w:rsidR="009E3A50" w:rsidRPr="00D90A98">
        <w:rPr>
          <w:rFonts w:cs="Arial"/>
        </w:rPr>
        <w:t>20</w:t>
      </w:r>
      <w:r w:rsidR="00D16698" w:rsidRPr="00D90A98">
        <w:rPr>
          <w:rFonts w:cs="Arial"/>
        </w:rPr>
        <w:t xml:space="preserve">22/23 </w:t>
      </w:r>
      <w:r w:rsidRPr="00D90A98">
        <w:rPr>
          <w:rFonts w:cs="Arial"/>
        </w:rPr>
        <w:t>academic year.</w:t>
      </w:r>
      <w:r w:rsidRPr="00D90A98">
        <w:rPr>
          <w:rStyle w:val="FootnoteReference"/>
          <w:rFonts w:cs="Arial"/>
        </w:rPr>
        <w:footnoteReference w:id="8"/>
      </w:r>
      <w:r w:rsidRPr="00D90A98">
        <w:rPr>
          <w:rFonts w:cs="Arial"/>
        </w:rPr>
        <w:t xml:space="preserve"> </w:t>
      </w:r>
      <w:r w:rsidR="00040E83" w:rsidRPr="00D90A98">
        <w:rPr>
          <w:rFonts w:cs="Arial"/>
        </w:rPr>
        <w:t>D</w:t>
      </w:r>
      <w:r w:rsidRPr="00D90A98">
        <w:rPr>
          <w:rFonts w:cs="Arial"/>
        </w:rPr>
        <w:t>ata from</w:t>
      </w:r>
      <w:r w:rsidR="00E67CFC" w:rsidRPr="00D90A98">
        <w:rPr>
          <w:rFonts w:cs="Arial"/>
        </w:rPr>
        <w:t xml:space="preserve"> previous</w:t>
      </w:r>
      <w:r w:rsidRPr="00D90A98">
        <w:rPr>
          <w:rFonts w:cs="Arial"/>
        </w:rPr>
        <w:t xml:space="preserve"> academic years will be included</w:t>
      </w:r>
      <w:r w:rsidR="00040E83" w:rsidRPr="00D90A98">
        <w:rPr>
          <w:rFonts w:cs="Arial"/>
        </w:rPr>
        <w:t xml:space="preserve"> </w:t>
      </w:r>
      <w:r w:rsidRPr="00D90A98">
        <w:rPr>
          <w:rFonts w:cs="Arial"/>
        </w:rPr>
        <w:t xml:space="preserve">for comparison purposes. </w:t>
      </w:r>
      <w:r w:rsidR="0078767C">
        <w:rPr>
          <w:rFonts w:cs="Arial"/>
        </w:rPr>
        <w:t>This appendix is organised to consider</w:t>
      </w:r>
      <w:r w:rsidR="009160D9">
        <w:rPr>
          <w:rFonts w:cs="Arial"/>
        </w:rPr>
        <w:t xml:space="preserve"> data regarding</w:t>
      </w:r>
      <w:r w:rsidR="0078767C">
        <w:rPr>
          <w:rFonts w:cs="Arial"/>
        </w:rPr>
        <w:t xml:space="preserve"> 1) disclosures and anonymous reports, 2) </w:t>
      </w:r>
      <w:r w:rsidR="009160D9">
        <w:rPr>
          <w:rFonts w:cs="Arial"/>
        </w:rPr>
        <w:t xml:space="preserve">formal reports, and 3) support. </w:t>
      </w:r>
      <w:r w:rsidRPr="00D90A98">
        <w:rPr>
          <w:rFonts w:cs="Arial"/>
        </w:rPr>
        <w:t xml:space="preserve">This information will continue to be made publicly available to respond to Freedom of Information requests and for transparency purposes for the University community as agreed by the </w:t>
      </w:r>
      <w:r w:rsidR="004D28E2">
        <w:rPr>
          <w:rFonts w:cs="Arial"/>
        </w:rPr>
        <w:t>UEC</w:t>
      </w:r>
      <w:r w:rsidRPr="00D90A98">
        <w:rPr>
          <w:rFonts w:cs="Arial"/>
        </w:rPr>
        <w:t xml:space="preserve"> in December 2019.</w:t>
      </w:r>
    </w:p>
    <w:p w14:paraId="5316ED40" w14:textId="77777777" w:rsidR="00E04BC6" w:rsidRDefault="00E04BC6" w:rsidP="007E704E">
      <w:pPr>
        <w:shd w:val="clear" w:color="auto" w:fill="FFFFFF"/>
        <w:rPr>
          <w:rFonts w:cs="Arial"/>
        </w:rPr>
      </w:pPr>
    </w:p>
    <w:p w14:paraId="6894BF92" w14:textId="197F5565" w:rsidR="00E04BC6" w:rsidRDefault="00E04BC6" w:rsidP="00E04BC6">
      <w:pPr>
        <w:pStyle w:val="TextunderNumbered"/>
        <w:numPr>
          <w:ilvl w:val="0"/>
          <w:numId w:val="0"/>
        </w:numPr>
        <w:shd w:val="clear" w:color="auto" w:fill="auto"/>
      </w:pPr>
      <w:r>
        <w:t xml:space="preserve">This is ‘reported’ data in comparison to ‘prevalence’ data as it has been recorded through disclosures and reports, rather than gathered through a survey. Therefore, it may not represent the prevalence of SMV impacting the University community. </w:t>
      </w:r>
      <w:r w:rsidRPr="009160D9">
        <w:t>At a national level sexual violence continues to be underreported based on expected rates of SMV within higher education from statistical prevalence studies conducted in the UK and internationally. The Office for Students has conducted a national prevalence study</w:t>
      </w:r>
      <w:r w:rsidRPr="009160D9">
        <w:rPr>
          <w:rStyle w:val="FootnoteReference"/>
        </w:rPr>
        <w:footnoteReference w:id="9"/>
      </w:r>
      <w:r w:rsidRPr="009160D9">
        <w:t xml:space="preserve"> to measure the extent of SMV in higher education (Office for Students, 2022b); </w:t>
      </w:r>
      <w:r>
        <w:t>results to be published in 2024.</w:t>
      </w:r>
    </w:p>
    <w:p w14:paraId="1DF82190" w14:textId="77777777" w:rsidR="007E704E" w:rsidRPr="00D90A98" w:rsidRDefault="007E704E" w:rsidP="00C254A8">
      <w:pPr>
        <w:pStyle w:val="TextunderNumbered"/>
        <w:numPr>
          <w:ilvl w:val="0"/>
          <w:numId w:val="17"/>
        </w:numPr>
        <w:shd w:val="clear" w:color="auto" w:fill="auto"/>
        <w:rPr>
          <w:b/>
        </w:rPr>
      </w:pPr>
      <w:r w:rsidRPr="00D90A98">
        <w:rPr>
          <w:b/>
        </w:rPr>
        <w:t>Disclosures &amp; Anonymous Reports</w:t>
      </w:r>
    </w:p>
    <w:p w14:paraId="001D1C3A" w14:textId="7F30956E" w:rsidR="0096525F" w:rsidRPr="00990003" w:rsidRDefault="007E704E" w:rsidP="00244C00">
      <w:pPr>
        <w:pStyle w:val="TextunderNumbered"/>
        <w:numPr>
          <w:ilvl w:val="1"/>
          <w:numId w:val="17"/>
        </w:numPr>
        <w:shd w:val="clear" w:color="auto" w:fill="auto"/>
        <w:ind w:left="540" w:hanging="824"/>
        <w:rPr>
          <w:b/>
        </w:rPr>
      </w:pPr>
      <w:r w:rsidRPr="00990003">
        <w:t xml:space="preserve">This section presents information on disclosures and anonymous reports made by students and </w:t>
      </w:r>
      <w:r w:rsidR="00E67CFC" w:rsidRPr="00990003">
        <w:t>employees</w:t>
      </w:r>
      <w:r w:rsidR="00E9667C" w:rsidRPr="00990003">
        <w:t xml:space="preserve"> regarding incidents that occurred whilst they were members of the University community</w:t>
      </w:r>
      <w:r w:rsidR="00E96C61">
        <w:t xml:space="preserve"> regardless of location and includes incidents that have occurred during and outside of University business</w:t>
      </w:r>
      <w:r w:rsidR="00E9667C" w:rsidRPr="00990003">
        <w:t>.</w:t>
      </w:r>
      <w:r w:rsidRPr="00990003">
        <w:t xml:space="preserve"> </w:t>
      </w:r>
    </w:p>
    <w:p w14:paraId="62425879" w14:textId="63FE4760" w:rsidR="0096525F" w:rsidRPr="00990003" w:rsidRDefault="0096525F" w:rsidP="0096525F">
      <w:pPr>
        <w:pStyle w:val="TextunderNumbered"/>
        <w:numPr>
          <w:ilvl w:val="1"/>
          <w:numId w:val="17"/>
        </w:numPr>
        <w:shd w:val="clear" w:color="auto" w:fill="auto"/>
        <w:ind w:left="540" w:hanging="824"/>
        <w:rPr>
          <w:b/>
        </w:rPr>
      </w:pPr>
      <w:r w:rsidRPr="00990003">
        <w:t>Disclosures and reports are separate actions under the SMV Policy. A disclosure involves an individual choosing to tell anyone who is part of the University community about their experience of SMV. Anonymous reports are similar in</w:t>
      </w:r>
      <w:r w:rsidR="00E9667C" w:rsidRPr="00990003">
        <w:t xml:space="preserve"> that</w:t>
      </w:r>
      <w:r w:rsidRPr="00990003">
        <w:t xml:space="preserve"> action cannot be taken from an anonymous report. A </w:t>
      </w:r>
      <w:r w:rsidR="00E9667C" w:rsidRPr="00990003">
        <w:t>named</w:t>
      </w:r>
      <w:r w:rsidR="00E96C61">
        <w:t xml:space="preserve"> or formal</w:t>
      </w:r>
      <w:r w:rsidR="00E9667C" w:rsidRPr="00990003">
        <w:t xml:space="preserve"> </w:t>
      </w:r>
      <w:r w:rsidRPr="00990003">
        <w:t>report</w:t>
      </w:r>
      <w:r w:rsidR="00E9667C" w:rsidRPr="00990003">
        <w:t xml:space="preserve"> </w:t>
      </w:r>
      <w:r w:rsidRPr="00990003">
        <w:t xml:space="preserve">is the sharing of information with a staff member of the University regarding an incident of SMV experienced by that individual for the purposes of initiating the investigation process by the University and/or Police. </w:t>
      </w:r>
    </w:p>
    <w:p w14:paraId="532C4217" w14:textId="50E040C4" w:rsidR="007E704E" w:rsidRPr="00D90A98" w:rsidRDefault="00E67CFC" w:rsidP="0096525F">
      <w:pPr>
        <w:pStyle w:val="TextunderNumbered"/>
        <w:numPr>
          <w:ilvl w:val="1"/>
          <w:numId w:val="17"/>
        </w:numPr>
        <w:shd w:val="clear" w:color="auto" w:fill="auto"/>
        <w:ind w:left="540" w:hanging="824"/>
        <w:rPr>
          <w:b/>
        </w:rPr>
      </w:pPr>
      <w:r w:rsidRPr="00990003">
        <w:t>Staff who receive a disclosur</w:t>
      </w:r>
      <w:r w:rsidR="0096525F" w:rsidRPr="00990003">
        <w:t xml:space="preserve">e of SMV that occurred whilst the Reporting Party was a student or employee are expected to record the disclosure on the </w:t>
      </w:r>
      <w:r w:rsidR="0096525F" w:rsidRPr="00E96C61">
        <w:rPr>
          <w:i/>
          <w:iCs/>
        </w:rPr>
        <w:t xml:space="preserve">SMV Recording Disclosure Form </w:t>
      </w:r>
      <w:r w:rsidR="0096525F" w:rsidRPr="00990003">
        <w:t xml:space="preserve">and submit this to the Sexual Misconduct Prevention and Response Manager for trend monitoring purposes either as a named or anonymous disclosure as </w:t>
      </w:r>
      <w:r w:rsidR="00E9667C" w:rsidRPr="00990003">
        <w:t>directed</w:t>
      </w:r>
      <w:r w:rsidR="0096525F" w:rsidRPr="00990003">
        <w:t xml:space="preserve"> by the Reporting Party. If this was not completed; the disclosure data will not be included in this paper as centrally it was not recorded. Disclosures can be received by any member of staff. A</w:t>
      </w:r>
      <w:r w:rsidR="007E704E" w:rsidRPr="00990003">
        <w:t xml:space="preserve">nonymous </w:t>
      </w:r>
      <w:r w:rsidR="007E704E" w:rsidRPr="00D90A98">
        <w:t xml:space="preserve">reports </w:t>
      </w:r>
      <w:r w:rsidR="0096525F" w:rsidRPr="00D90A98">
        <w:t xml:space="preserve">are submitted </w:t>
      </w:r>
      <w:r w:rsidR="007E704E" w:rsidRPr="00D90A98">
        <w:t xml:space="preserve">on the Report + Support (R+S) platform. </w:t>
      </w:r>
    </w:p>
    <w:p w14:paraId="4CE9E420" w14:textId="6657C11D" w:rsidR="00202120" w:rsidRPr="00D90A98" w:rsidRDefault="007E704E" w:rsidP="00244C00">
      <w:pPr>
        <w:pStyle w:val="TextunderNumbered"/>
        <w:numPr>
          <w:ilvl w:val="1"/>
          <w:numId w:val="17"/>
        </w:numPr>
        <w:shd w:val="clear" w:color="auto" w:fill="auto"/>
        <w:ind w:left="540" w:hanging="824"/>
      </w:pPr>
      <w:r w:rsidRPr="00D90A98">
        <w:rPr>
          <w:b/>
        </w:rPr>
        <w:t>Number of Disclosures:</w:t>
      </w:r>
      <w:r w:rsidR="00040E83" w:rsidRPr="00D90A98">
        <w:rPr>
          <w:b/>
        </w:rPr>
        <w:t xml:space="preserve"> </w:t>
      </w:r>
      <w:r w:rsidR="00040E83" w:rsidRPr="00D90A98">
        <w:rPr>
          <w:bCs/>
        </w:rPr>
        <w:t xml:space="preserve">The Student Conduct Office recorded </w:t>
      </w:r>
      <w:r w:rsidR="00AA7907" w:rsidRPr="00E96C61">
        <w:rPr>
          <w:b/>
        </w:rPr>
        <w:t>27</w:t>
      </w:r>
      <w:r w:rsidR="0051139E" w:rsidRPr="00E96C61">
        <w:rPr>
          <w:b/>
        </w:rPr>
        <w:t>4</w:t>
      </w:r>
      <w:r w:rsidR="00040E83" w:rsidRPr="00E96C61">
        <w:rPr>
          <w:b/>
        </w:rPr>
        <w:t xml:space="preserve"> disclosures</w:t>
      </w:r>
      <w:r w:rsidR="00040E83" w:rsidRPr="00D90A98">
        <w:rPr>
          <w:bCs/>
        </w:rPr>
        <w:t xml:space="preserve"> during the </w:t>
      </w:r>
      <w:r w:rsidR="00D16698" w:rsidRPr="00D90A98">
        <w:rPr>
          <w:bCs/>
        </w:rPr>
        <w:t>2022/23</w:t>
      </w:r>
      <w:r w:rsidR="00040E83" w:rsidRPr="00D90A98">
        <w:rPr>
          <w:bCs/>
        </w:rPr>
        <w:t xml:space="preserve"> academic year</w:t>
      </w:r>
      <w:r w:rsidR="006D7E16" w:rsidRPr="00D90A98">
        <w:rPr>
          <w:bCs/>
        </w:rPr>
        <w:t xml:space="preserve">, including </w:t>
      </w:r>
      <w:r w:rsidR="001857B0" w:rsidRPr="00D90A98">
        <w:rPr>
          <w:bCs/>
        </w:rPr>
        <w:t>37</w:t>
      </w:r>
      <w:r w:rsidR="006D7E16" w:rsidRPr="00D90A98">
        <w:rPr>
          <w:bCs/>
        </w:rPr>
        <w:t xml:space="preserve"> anonymous reports made on the R+S platform</w:t>
      </w:r>
      <w:r w:rsidR="00040E83" w:rsidRPr="00D90A98">
        <w:rPr>
          <w:bCs/>
        </w:rPr>
        <w:t>. This was a</w:t>
      </w:r>
      <w:r w:rsidR="00C619DD" w:rsidRPr="00D90A98">
        <w:rPr>
          <w:bCs/>
        </w:rPr>
        <w:t>n</w:t>
      </w:r>
      <w:r w:rsidR="00040E83" w:rsidRPr="00D90A98">
        <w:rPr>
          <w:bCs/>
        </w:rPr>
        <w:t xml:space="preserve"> increase from the previous year </w:t>
      </w:r>
      <w:r w:rsidR="00E9667C" w:rsidRPr="00D90A98">
        <w:rPr>
          <w:bCs/>
        </w:rPr>
        <w:t>of</w:t>
      </w:r>
      <w:r w:rsidR="00040E83" w:rsidRPr="00D90A98">
        <w:rPr>
          <w:bCs/>
        </w:rPr>
        <w:t xml:space="preserve"> </w:t>
      </w:r>
      <w:r w:rsidR="00D16698" w:rsidRPr="00D90A98">
        <w:rPr>
          <w:bCs/>
        </w:rPr>
        <w:t>213</w:t>
      </w:r>
      <w:r w:rsidR="00040E83" w:rsidRPr="00D90A98">
        <w:rPr>
          <w:bCs/>
        </w:rPr>
        <w:t xml:space="preserve"> disclosures</w:t>
      </w:r>
      <w:r w:rsidR="00C619DD" w:rsidRPr="00D90A98">
        <w:rPr>
          <w:bCs/>
        </w:rPr>
        <w:t xml:space="preserve"> (including 2</w:t>
      </w:r>
      <w:r w:rsidR="00D16698" w:rsidRPr="00D90A98">
        <w:rPr>
          <w:bCs/>
        </w:rPr>
        <w:t>4</w:t>
      </w:r>
      <w:r w:rsidR="00C619DD" w:rsidRPr="00D90A98">
        <w:rPr>
          <w:bCs/>
        </w:rPr>
        <w:t xml:space="preserve"> anonymous reports)</w:t>
      </w:r>
      <w:r w:rsidR="00040E83" w:rsidRPr="00D90A98">
        <w:rPr>
          <w:bCs/>
        </w:rPr>
        <w:t>.</w:t>
      </w:r>
      <w:r w:rsidR="00C619DD" w:rsidRPr="00D90A98">
        <w:rPr>
          <w:bCs/>
        </w:rPr>
        <w:t xml:space="preserve"> </w:t>
      </w:r>
      <w:r w:rsidR="00040E83" w:rsidRPr="00D90A98">
        <w:rPr>
          <w:bCs/>
        </w:rPr>
        <w:t xml:space="preserve"> </w:t>
      </w:r>
    </w:p>
    <w:p w14:paraId="52FE82B3" w14:textId="671ED36E" w:rsidR="007E704E" w:rsidRDefault="004163E4" w:rsidP="00244C00">
      <w:pPr>
        <w:pStyle w:val="TextunderNumbered"/>
        <w:numPr>
          <w:ilvl w:val="1"/>
          <w:numId w:val="17"/>
        </w:numPr>
        <w:shd w:val="clear" w:color="auto" w:fill="auto"/>
        <w:ind w:left="540" w:hanging="824"/>
      </w:pPr>
      <w:r w:rsidRPr="00D90A98">
        <w:t>There</w:t>
      </w:r>
      <w:r w:rsidR="007E704E" w:rsidRPr="00D90A98">
        <w:t xml:space="preserve"> continue</w:t>
      </w:r>
      <w:r w:rsidRPr="00D90A98">
        <w:t>s</w:t>
      </w:r>
      <w:r w:rsidR="007E704E" w:rsidRPr="00D90A98">
        <w:t xml:space="preserve"> to </w:t>
      </w:r>
      <w:r w:rsidRPr="00D90A98">
        <w:t>b</w:t>
      </w:r>
      <w:r w:rsidR="007E704E" w:rsidRPr="00D90A98">
        <w:t xml:space="preserve">e some delay in disclosures with some incidents being disclosed years later. </w:t>
      </w:r>
      <w:r w:rsidR="006D7E16" w:rsidRPr="00D90A98">
        <w:t xml:space="preserve">From a trauma-informed approach, </w:t>
      </w:r>
      <w:r w:rsidRPr="00D90A98">
        <w:t xml:space="preserve">it is </w:t>
      </w:r>
      <w:r w:rsidR="006D7E16" w:rsidRPr="00D90A98">
        <w:t>ac</w:t>
      </w:r>
      <w:r w:rsidR="007E704E" w:rsidRPr="00D90A98">
        <w:t>knowledge</w:t>
      </w:r>
      <w:r w:rsidRPr="00D90A98">
        <w:t>d</w:t>
      </w:r>
      <w:r w:rsidR="006D7E16" w:rsidRPr="00D90A98">
        <w:t xml:space="preserve"> that delayed reporting is expected due</w:t>
      </w:r>
      <w:r w:rsidR="00E9667C" w:rsidRPr="00D90A98">
        <w:t xml:space="preserve"> to trauma responses and</w:t>
      </w:r>
      <w:r w:rsidR="006D7E16" w:rsidRPr="00D90A98">
        <w:t xml:space="preserve"> </w:t>
      </w:r>
      <w:r w:rsidR="007E704E" w:rsidRPr="00D90A98">
        <w:t>internal and external barriers to disclosure</w:t>
      </w:r>
      <w:r w:rsidR="00E9667C" w:rsidRPr="00D90A98">
        <w:t xml:space="preserve"> </w:t>
      </w:r>
      <w:r w:rsidR="007E704E" w:rsidRPr="00D90A98">
        <w:t xml:space="preserve">(Humphreys and Towl, </w:t>
      </w:r>
      <w:r w:rsidR="007E704E" w:rsidRPr="00D90A98">
        <w:lastRenderedPageBreak/>
        <w:t xml:space="preserve">2020).  </w:t>
      </w:r>
      <w:r w:rsidR="007E704E" w:rsidRPr="00D90A98">
        <w:rPr>
          <w:b/>
          <w:bCs/>
        </w:rPr>
        <w:t>Figure 1</w:t>
      </w:r>
      <w:r w:rsidR="007E704E" w:rsidRPr="00D90A98">
        <w:t xml:space="preserve"> illustrates when </w:t>
      </w:r>
      <w:r w:rsidRPr="00D90A98">
        <w:t xml:space="preserve">the disclosure was received </w:t>
      </w:r>
      <w:r w:rsidR="007E704E" w:rsidRPr="00D90A98">
        <w:t>compared to when the incident occurred.</w:t>
      </w:r>
      <w:r w:rsidR="00A36CFC" w:rsidRPr="00D90A98">
        <w:t xml:space="preserve"> Anonymous reports are also included in this figure.</w:t>
      </w:r>
      <w:r w:rsidR="007E704E" w:rsidRPr="00D90A98">
        <w:t xml:space="preserve"> </w:t>
      </w:r>
    </w:p>
    <w:p w14:paraId="3D70C463" w14:textId="756BAB4A" w:rsidR="00C619DD" w:rsidRPr="00990003" w:rsidRDefault="00AD0FCD" w:rsidP="00A36CFC">
      <w:pPr>
        <w:pStyle w:val="TextunderNumbered"/>
        <w:numPr>
          <w:ilvl w:val="0"/>
          <w:numId w:val="0"/>
        </w:numPr>
        <w:shd w:val="clear" w:color="auto" w:fill="auto"/>
        <w:tabs>
          <w:tab w:val="left" w:pos="3520"/>
        </w:tabs>
      </w:pPr>
      <w:r>
        <w:rPr>
          <w:noProof/>
        </w:rPr>
        <w:drawing>
          <wp:inline distT="0" distB="0" distL="0" distR="0" wp14:anchorId="3E973BA1" wp14:editId="44FBC507">
            <wp:extent cx="6120765" cy="4320000"/>
            <wp:effectExtent l="0" t="0" r="13335" b="4445"/>
            <wp:docPr id="6" name="Chart 6">
              <a:extLst xmlns:a="http://schemas.openxmlformats.org/drawingml/2006/main">
                <a:ext uri="{FF2B5EF4-FFF2-40B4-BE49-F238E27FC236}">
                  <a16:creationId xmlns:a16="http://schemas.microsoft.com/office/drawing/2014/main" id="{20CB5C80-D9EB-0045-6ACF-998E5C5392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A5076B" w14:textId="367F260F" w:rsidR="007E704E" w:rsidRPr="00D90A98" w:rsidRDefault="007E704E" w:rsidP="00244C00">
      <w:pPr>
        <w:pStyle w:val="TextunderNumbered"/>
        <w:numPr>
          <w:ilvl w:val="1"/>
          <w:numId w:val="17"/>
        </w:numPr>
        <w:shd w:val="clear" w:color="auto" w:fill="auto"/>
        <w:ind w:left="540" w:hanging="824"/>
      </w:pPr>
      <w:r w:rsidRPr="00D90A98">
        <w:rPr>
          <w:b/>
        </w:rPr>
        <w:t>Demographics:</w:t>
      </w:r>
      <w:r w:rsidRPr="00D90A98">
        <w:t xml:space="preserve"> </w:t>
      </w:r>
      <w:r w:rsidR="00E9667C" w:rsidRPr="00D90A98">
        <w:t xml:space="preserve">During the </w:t>
      </w:r>
      <w:r w:rsidR="00D16698" w:rsidRPr="00D90A98">
        <w:t>2022/23</w:t>
      </w:r>
      <w:r w:rsidR="00E9667C" w:rsidRPr="00D90A98">
        <w:t xml:space="preserve"> academic year, the disclosures received were most often from undergraduate women </w:t>
      </w:r>
      <w:r w:rsidRPr="00D90A98">
        <w:t>Reporting Partie</w:t>
      </w:r>
      <w:r w:rsidR="00E9667C" w:rsidRPr="00D90A98">
        <w:t xml:space="preserve">s. The Responding Parties were most often </w:t>
      </w:r>
      <w:r w:rsidRPr="00D90A98">
        <w:t xml:space="preserve">undergraduate men. This trend has been observed for the last </w:t>
      </w:r>
      <w:r w:rsidR="00D16698" w:rsidRPr="00D90A98">
        <w:t>9</w:t>
      </w:r>
      <w:r w:rsidRPr="00D90A98">
        <w:t xml:space="preserve"> years. </w:t>
      </w:r>
      <w:r w:rsidRPr="00D90A98">
        <w:rPr>
          <w:b/>
          <w:bCs/>
        </w:rPr>
        <w:t>Table 1</w:t>
      </w:r>
      <w:r w:rsidRPr="00D90A98">
        <w:t xml:space="preserve"> and </w:t>
      </w:r>
      <w:r w:rsidRPr="00D90A98">
        <w:rPr>
          <w:b/>
          <w:bCs/>
        </w:rPr>
        <w:t>2</w:t>
      </w:r>
      <w:r w:rsidRPr="00D90A98">
        <w:t xml:space="preserve"> provide details of the relationship to the University for individuals involved in disclosures and anonymous reports</w:t>
      </w:r>
      <w:r w:rsidR="00E96C61">
        <w:t xml:space="preserve"> and their identified gender</w:t>
      </w:r>
      <w:r w:rsidRPr="00D90A98">
        <w:t xml:space="preserve">. </w:t>
      </w:r>
    </w:p>
    <w:tbl>
      <w:tblPr>
        <w:tblW w:w="5000" w:type="pct"/>
        <w:tblLook w:val="04A0" w:firstRow="1" w:lastRow="0" w:firstColumn="1" w:lastColumn="0" w:noHBand="0" w:noVBand="1"/>
      </w:tblPr>
      <w:tblGrid>
        <w:gridCol w:w="3463"/>
        <w:gridCol w:w="1539"/>
        <w:gridCol w:w="1539"/>
        <w:gridCol w:w="1539"/>
        <w:gridCol w:w="1539"/>
      </w:tblGrid>
      <w:tr w:rsidR="007E704E" w:rsidRPr="00990003" w14:paraId="00CA05A2" w14:textId="77777777" w:rsidTr="002A0835">
        <w:trPr>
          <w:trHeight w:val="340"/>
        </w:trPr>
        <w:tc>
          <w:tcPr>
            <w:tcW w:w="5000" w:type="pct"/>
            <w:gridSpan w:val="5"/>
            <w:tcBorders>
              <w:top w:val="single" w:sz="8" w:space="0" w:color="auto"/>
              <w:left w:val="single" w:sz="8" w:space="0" w:color="auto"/>
              <w:bottom w:val="single" w:sz="4" w:space="0" w:color="auto"/>
              <w:right w:val="single" w:sz="8" w:space="0" w:color="000000"/>
            </w:tcBorders>
            <w:shd w:val="clear" w:color="auto" w:fill="C2D69B" w:themeFill="accent3" w:themeFillTint="99"/>
            <w:vAlign w:val="center"/>
          </w:tcPr>
          <w:p w14:paraId="0860B345" w14:textId="563DFD10" w:rsidR="007E704E" w:rsidRPr="00990003" w:rsidRDefault="007E704E" w:rsidP="002A0835">
            <w:pPr>
              <w:jc w:val="left"/>
              <w:rPr>
                <w:rFonts w:cs="Arial"/>
                <w:b/>
                <w:bCs/>
                <w:color w:val="000000"/>
                <w:sz w:val="20"/>
                <w:szCs w:val="20"/>
                <w:lang w:eastAsia="en-US"/>
              </w:rPr>
            </w:pPr>
            <w:r w:rsidRPr="00990003">
              <w:rPr>
                <w:rFonts w:cs="Arial"/>
                <w:b/>
                <w:bCs/>
                <w:color w:val="000000"/>
                <w:sz w:val="20"/>
                <w:szCs w:val="20"/>
                <w:lang w:eastAsia="en-US"/>
              </w:rPr>
              <w:t xml:space="preserve">Table 1. Affiliation of Reporting Parties and Responding Parties to the University for incidents disclosed or anonymously reported during the </w:t>
            </w:r>
            <w:r w:rsidR="00D16698">
              <w:rPr>
                <w:rFonts w:cs="Arial"/>
                <w:b/>
                <w:bCs/>
                <w:color w:val="000000"/>
                <w:sz w:val="20"/>
                <w:szCs w:val="20"/>
                <w:lang w:eastAsia="en-US"/>
              </w:rPr>
              <w:t>2022/23</w:t>
            </w:r>
            <w:r w:rsidRPr="00990003">
              <w:rPr>
                <w:rFonts w:cs="Arial"/>
                <w:b/>
                <w:bCs/>
                <w:color w:val="000000"/>
                <w:sz w:val="20"/>
                <w:szCs w:val="20"/>
                <w:lang w:eastAsia="en-US"/>
              </w:rPr>
              <w:t xml:space="preserve"> Academic Year</w:t>
            </w:r>
          </w:p>
        </w:tc>
      </w:tr>
      <w:tr w:rsidR="007E704E" w:rsidRPr="00990003" w14:paraId="750D96DE" w14:textId="77777777" w:rsidTr="00F93013">
        <w:trPr>
          <w:trHeight w:val="340"/>
        </w:trPr>
        <w:tc>
          <w:tcPr>
            <w:tcW w:w="1800" w:type="pct"/>
            <w:tcBorders>
              <w:top w:val="single" w:sz="8" w:space="0" w:color="auto"/>
              <w:left w:val="single" w:sz="8" w:space="0" w:color="auto"/>
              <w:bottom w:val="single" w:sz="4" w:space="0" w:color="auto"/>
              <w:right w:val="single" w:sz="8" w:space="0" w:color="000000"/>
            </w:tcBorders>
            <w:shd w:val="clear" w:color="auto" w:fill="EAF1DD" w:themeFill="accent3" w:themeFillTint="33"/>
            <w:vAlign w:val="center"/>
            <w:hideMark/>
          </w:tcPr>
          <w:p w14:paraId="6146C7BB" w14:textId="77777777" w:rsidR="007E704E" w:rsidRPr="00990003" w:rsidRDefault="007E704E" w:rsidP="002A0835">
            <w:pPr>
              <w:jc w:val="center"/>
              <w:rPr>
                <w:rFonts w:cs="Arial"/>
                <w:b/>
                <w:bCs/>
                <w:color w:val="000000"/>
                <w:sz w:val="20"/>
                <w:szCs w:val="20"/>
                <w:lang w:eastAsia="en-US"/>
              </w:rPr>
            </w:pPr>
            <w:r w:rsidRPr="00990003">
              <w:rPr>
                <w:rFonts w:cs="Arial"/>
                <w:b/>
                <w:bCs/>
                <w:color w:val="000000"/>
                <w:sz w:val="20"/>
                <w:szCs w:val="20"/>
                <w:lang w:eastAsia="en-US"/>
              </w:rPr>
              <w:t>Affiliation to Durham University</w:t>
            </w:r>
          </w:p>
        </w:tc>
        <w:tc>
          <w:tcPr>
            <w:tcW w:w="1600" w:type="pct"/>
            <w:gridSpan w:val="2"/>
            <w:tcBorders>
              <w:top w:val="single" w:sz="8" w:space="0" w:color="auto"/>
              <w:left w:val="single" w:sz="8" w:space="0" w:color="auto"/>
              <w:bottom w:val="single" w:sz="4" w:space="0" w:color="auto"/>
              <w:right w:val="single" w:sz="8" w:space="0" w:color="000000"/>
            </w:tcBorders>
            <w:shd w:val="clear" w:color="auto" w:fill="EAF1DD" w:themeFill="accent3" w:themeFillTint="33"/>
            <w:vAlign w:val="center"/>
          </w:tcPr>
          <w:p w14:paraId="73692D65" w14:textId="77777777" w:rsidR="007E704E" w:rsidRPr="00990003" w:rsidRDefault="007E704E" w:rsidP="002A0835">
            <w:pPr>
              <w:jc w:val="center"/>
              <w:rPr>
                <w:rFonts w:cs="Arial"/>
                <w:b/>
                <w:bCs/>
                <w:color w:val="000000"/>
                <w:sz w:val="20"/>
                <w:szCs w:val="20"/>
                <w:lang w:eastAsia="en-US"/>
              </w:rPr>
            </w:pPr>
            <w:r w:rsidRPr="00990003">
              <w:rPr>
                <w:rFonts w:cs="Arial"/>
                <w:b/>
                <w:bCs/>
                <w:color w:val="000000"/>
                <w:sz w:val="20"/>
                <w:szCs w:val="20"/>
                <w:lang w:eastAsia="en-US"/>
              </w:rPr>
              <w:t>Reporting Party</w:t>
            </w:r>
          </w:p>
        </w:tc>
        <w:tc>
          <w:tcPr>
            <w:tcW w:w="1600" w:type="pct"/>
            <w:gridSpan w:val="2"/>
            <w:tcBorders>
              <w:top w:val="single" w:sz="8" w:space="0" w:color="auto"/>
              <w:left w:val="single" w:sz="8" w:space="0" w:color="auto"/>
              <w:bottom w:val="single" w:sz="4" w:space="0" w:color="auto"/>
              <w:right w:val="single" w:sz="8" w:space="0" w:color="000000"/>
            </w:tcBorders>
            <w:shd w:val="clear" w:color="auto" w:fill="EAF1DD" w:themeFill="accent3" w:themeFillTint="33"/>
            <w:vAlign w:val="center"/>
          </w:tcPr>
          <w:p w14:paraId="24FF668B" w14:textId="77777777" w:rsidR="007E704E" w:rsidRPr="00990003" w:rsidRDefault="007E704E" w:rsidP="002A0835">
            <w:pPr>
              <w:jc w:val="center"/>
              <w:rPr>
                <w:rFonts w:cs="Arial"/>
                <w:b/>
                <w:bCs/>
                <w:color w:val="000000"/>
                <w:sz w:val="20"/>
                <w:szCs w:val="20"/>
                <w:lang w:eastAsia="en-US"/>
              </w:rPr>
            </w:pPr>
            <w:r w:rsidRPr="00990003">
              <w:rPr>
                <w:rFonts w:cs="Arial"/>
                <w:b/>
                <w:bCs/>
                <w:color w:val="000000"/>
                <w:sz w:val="20"/>
                <w:szCs w:val="20"/>
                <w:lang w:eastAsia="en-US"/>
              </w:rPr>
              <w:t>Responding Party</w:t>
            </w:r>
          </w:p>
        </w:tc>
      </w:tr>
      <w:tr w:rsidR="00F93013" w:rsidRPr="00990003" w14:paraId="6779DA31" w14:textId="77777777" w:rsidTr="00F93013">
        <w:trPr>
          <w:trHeight w:val="340"/>
        </w:trPr>
        <w:tc>
          <w:tcPr>
            <w:tcW w:w="1800" w:type="pct"/>
            <w:tcBorders>
              <w:top w:val="nil"/>
              <w:left w:val="single" w:sz="8" w:space="0" w:color="auto"/>
              <w:bottom w:val="single" w:sz="4" w:space="0" w:color="auto"/>
              <w:right w:val="single" w:sz="8" w:space="0" w:color="auto"/>
            </w:tcBorders>
            <w:shd w:val="clear" w:color="auto" w:fill="auto"/>
            <w:noWrap/>
            <w:vAlign w:val="center"/>
            <w:hideMark/>
          </w:tcPr>
          <w:p w14:paraId="2561C194" w14:textId="77777777" w:rsidR="00F93013" w:rsidRPr="00990003" w:rsidRDefault="00F93013" w:rsidP="002A0835">
            <w:pPr>
              <w:jc w:val="right"/>
              <w:rPr>
                <w:rFonts w:cs="Arial"/>
                <w:color w:val="000000"/>
                <w:sz w:val="20"/>
                <w:szCs w:val="20"/>
                <w:lang w:eastAsia="en-US"/>
              </w:rPr>
            </w:pPr>
            <w:r w:rsidRPr="00990003">
              <w:rPr>
                <w:rFonts w:cs="Arial"/>
                <w:color w:val="000000"/>
                <w:sz w:val="20"/>
                <w:szCs w:val="20"/>
                <w:lang w:eastAsia="en-US"/>
              </w:rPr>
              <w:t>Undergraduate</w:t>
            </w:r>
          </w:p>
        </w:tc>
        <w:tc>
          <w:tcPr>
            <w:tcW w:w="800" w:type="pct"/>
            <w:tcBorders>
              <w:top w:val="nil"/>
              <w:left w:val="nil"/>
              <w:bottom w:val="single" w:sz="4" w:space="0" w:color="auto"/>
              <w:right w:val="single" w:sz="8" w:space="0" w:color="auto"/>
            </w:tcBorders>
            <w:vAlign w:val="center"/>
          </w:tcPr>
          <w:p w14:paraId="0A93D47C" w14:textId="517E4C66" w:rsidR="00F93013" w:rsidRPr="00990003" w:rsidRDefault="00FA7CCB" w:rsidP="002A0835">
            <w:pPr>
              <w:jc w:val="center"/>
              <w:rPr>
                <w:rFonts w:cs="Arial"/>
                <w:b/>
                <w:bCs/>
                <w:color w:val="000000"/>
                <w:sz w:val="20"/>
                <w:szCs w:val="20"/>
                <w:lang w:eastAsia="en-US"/>
              </w:rPr>
            </w:pPr>
            <w:r>
              <w:rPr>
                <w:rFonts w:cs="Arial"/>
                <w:b/>
                <w:bCs/>
                <w:color w:val="000000"/>
                <w:sz w:val="20"/>
                <w:szCs w:val="20"/>
                <w:lang w:eastAsia="en-US"/>
              </w:rPr>
              <w:t>199</w:t>
            </w:r>
          </w:p>
        </w:tc>
        <w:tc>
          <w:tcPr>
            <w:tcW w:w="800" w:type="pct"/>
            <w:tcBorders>
              <w:top w:val="nil"/>
              <w:left w:val="nil"/>
              <w:bottom w:val="single" w:sz="4" w:space="0" w:color="auto"/>
              <w:right w:val="single" w:sz="8" w:space="0" w:color="auto"/>
            </w:tcBorders>
            <w:vAlign w:val="center"/>
          </w:tcPr>
          <w:p w14:paraId="324C1937" w14:textId="3B0B4074" w:rsidR="00F93013" w:rsidRPr="00990003" w:rsidRDefault="00FA7CCB" w:rsidP="002A0835">
            <w:pPr>
              <w:jc w:val="center"/>
              <w:rPr>
                <w:rFonts w:cs="Arial"/>
                <w:b/>
                <w:bCs/>
                <w:color w:val="000000"/>
                <w:sz w:val="20"/>
                <w:szCs w:val="20"/>
                <w:lang w:eastAsia="en-US"/>
              </w:rPr>
            </w:pPr>
            <w:r>
              <w:rPr>
                <w:rFonts w:cs="Arial"/>
                <w:b/>
                <w:bCs/>
                <w:color w:val="000000"/>
                <w:sz w:val="20"/>
                <w:szCs w:val="20"/>
                <w:lang w:eastAsia="en-US"/>
              </w:rPr>
              <w:t>73%</w:t>
            </w:r>
          </w:p>
        </w:tc>
        <w:tc>
          <w:tcPr>
            <w:tcW w:w="800" w:type="pct"/>
            <w:tcBorders>
              <w:top w:val="nil"/>
              <w:left w:val="nil"/>
              <w:bottom w:val="single" w:sz="4" w:space="0" w:color="auto"/>
              <w:right w:val="single" w:sz="8" w:space="0" w:color="auto"/>
            </w:tcBorders>
            <w:vAlign w:val="center"/>
          </w:tcPr>
          <w:p w14:paraId="21C5D451" w14:textId="42481395" w:rsidR="00F93013" w:rsidRPr="00990003" w:rsidRDefault="00FD1A0E" w:rsidP="002A0835">
            <w:pPr>
              <w:jc w:val="center"/>
              <w:rPr>
                <w:rFonts w:cs="Arial"/>
                <w:b/>
                <w:bCs/>
                <w:color w:val="000000"/>
                <w:sz w:val="20"/>
                <w:szCs w:val="20"/>
                <w:lang w:eastAsia="en-US"/>
              </w:rPr>
            </w:pPr>
            <w:r>
              <w:rPr>
                <w:rFonts w:cs="Arial"/>
                <w:b/>
                <w:bCs/>
                <w:color w:val="000000"/>
                <w:sz w:val="20"/>
                <w:szCs w:val="20"/>
                <w:lang w:eastAsia="en-US"/>
              </w:rPr>
              <w:t>99</w:t>
            </w:r>
          </w:p>
        </w:tc>
        <w:tc>
          <w:tcPr>
            <w:tcW w:w="800" w:type="pct"/>
            <w:tcBorders>
              <w:top w:val="nil"/>
              <w:left w:val="nil"/>
              <w:bottom w:val="single" w:sz="4" w:space="0" w:color="auto"/>
              <w:right w:val="single" w:sz="8" w:space="0" w:color="auto"/>
            </w:tcBorders>
            <w:shd w:val="clear" w:color="auto" w:fill="auto"/>
            <w:vAlign w:val="center"/>
          </w:tcPr>
          <w:p w14:paraId="2C7033A4" w14:textId="4FFC8024" w:rsidR="00F93013" w:rsidRPr="00990003" w:rsidRDefault="00FD1A0E" w:rsidP="002A0835">
            <w:pPr>
              <w:jc w:val="center"/>
              <w:rPr>
                <w:rFonts w:cs="Arial"/>
                <w:b/>
                <w:bCs/>
                <w:color w:val="000000"/>
                <w:sz w:val="20"/>
                <w:szCs w:val="20"/>
                <w:lang w:eastAsia="en-US"/>
              </w:rPr>
            </w:pPr>
            <w:r>
              <w:rPr>
                <w:rFonts w:cs="Arial"/>
                <w:b/>
                <w:bCs/>
                <w:color w:val="000000"/>
                <w:sz w:val="20"/>
                <w:szCs w:val="20"/>
                <w:lang w:eastAsia="en-US"/>
              </w:rPr>
              <w:t>36%</w:t>
            </w:r>
          </w:p>
        </w:tc>
      </w:tr>
      <w:tr w:rsidR="00F93013" w:rsidRPr="00990003" w14:paraId="673573E7" w14:textId="77777777" w:rsidTr="00F93013">
        <w:trPr>
          <w:trHeight w:val="340"/>
        </w:trPr>
        <w:tc>
          <w:tcPr>
            <w:tcW w:w="1800" w:type="pct"/>
            <w:tcBorders>
              <w:top w:val="nil"/>
              <w:left w:val="single" w:sz="8" w:space="0" w:color="auto"/>
              <w:bottom w:val="single" w:sz="4" w:space="0" w:color="auto"/>
              <w:right w:val="single" w:sz="8" w:space="0" w:color="auto"/>
            </w:tcBorders>
            <w:shd w:val="clear" w:color="auto" w:fill="auto"/>
            <w:noWrap/>
            <w:vAlign w:val="center"/>
            <w:hideMark/>
          </w:tcPr>
          <w:p w14:paraId="48B46BCF" w14:textId="77777777" w:rsidR="00F93013" w:rsidRPr="00990003" w:rsidRDefault="00F93013" w:rsidP="002A0835">
            <w:pPr>
              <w:jc w:val="right"/>
              <w:rPr>
                <w:rFonts w:cs="Arial"/>
                <w:color w:val="000000"/>
                <w:sz w:val="20"/>
                <w:szCs w:val="20"/>
                <w:lang w:eastAsia="en-US"/>
              </w:rPr>
            </w:pPr>
            <w:r w:rsidRPr="00990003">
              <w:rPr>
                <w:rFonts w:cs="Arial"/>
                <w:color w:val="000000"/>
                <w:sz w:val="20"/>
                <w:szCs w:val="20"/>
                <w:lang w:eastAsia="en-US"/>
              </w:rPr>
              <w:t>Postgraduate</w:t>
            </w:r>
          </w:p>
        </w:tc>
        <w:tc>
          <w:tcPr>
            <w:tcW w:w="800" w:type="pct"/>
            <w:tcBorders>
              <w:top w:val="nil"/>
              <w:left w:val="nil"/>
              <w:bottom w:val="single" w:sz="4" w:space="0" w:color="auto"/>
              <w:right w:val="single" w:sz="8" w:space="0" w:color="auto"/>
            </w:tcBorders>
            <w:vAlign w:val="center"/>
          </w:tcPr>
          <w:p w14:paraId="093C4CC8" w14:textId="0E82B6D5" w:rsidR="00F93013" w:rsidRPr="00990003" w:rsidRDefault="00FA7CCB" w:rsidP="002A0835">
            <w:pPr>
              <w:jc w:val="center"/>
              <w:rPr>
                <w:rFonts w:cs="Arial"/>
                <w:color w:val="000000"/>
                <w:sz w:val="20"/>
                <w:szCs w:val="20"/>
                <w:lang w:eastAsia="en-US"/>
              </w:rPr>
            </w:pPr>
            <w:r>
              <w:rPr>
                <w:rFonts w:cs="Arial"/>
                <w:color w:val="000000"/>
                <w:sz w:val="20"/>
                <w:szCs w:val="20"/>
                <w:lang w:eastAsia="en-US"/>
              </w:rPr>
              <w:t>36</w:t>
            </w:r>
          </w:p>
        </w:tc>
        <w:tc>
          <w:tcPr>
            <w:tcW w:w="800" w:type="pct"/>
            <w:tcBorders>
              <w:top w:val="nil"/>
              <w:left w:val="nil"/>
              <w:bottom w:val="single" w:sz="4" w:space="0" w:color="auto"/>
              <w:right w:val="single" w:sz="8" w:space="0" w:color="auto"/>
            </w:tcBorders>
            <w:vAlign w:val="center"/>
          </w:tcPr>
          <w:p w14:paraId="4C98AE27" w14:textId="00A31363" w:rsidR="00F93013" w:rsidRPr="00990003" w:rsidRDefault="00FA7CCB" w:rsidP="002A0835">
            <w:pPr>
              <w:jc w:val="center"/>
              <w:rPr>
                <w:rFonts w:cs="Arial"/>
                <w:color w:val="000000"/>
                <w:sz w:val="20"/>
                <w:szCs w:val="20"/>
                <w:lang w:eastAsia="en-US"/>
              </w:rPr>
            </w:pPr>
            <w:r>
              <w:rPr>
                <w:rFonts w:cs="Arial"/>
                <w:color w:val="000000"/>
                <w:sz w:val="20"/>
                <w:szCs w:val="20"/>
                <w:lang w:eastAsia="en-US"/>
              </w:rPr>
              <w:t>13%</w:t>
            </w:r>
          </w:p>
        </w:tc>
        <w:tc>
          <w:tcPr>
            <w:tcW w:w="800" w:type="pct"/>
            <w:tcBorders>
              <w:top w:val="nil"/>
              <w:left w:val="nil"/>
              <w:bottom w:val="single" w:sz="4" w:space="0" w:color="auto"/>
              <w:right w:val="single" w:sz="8" w:space="0" w:color="auto"/>
            </w:tcBorders>
            <w:vAlign w:val="center"/>
          </w:tcPr>
          <w:p w14:paraId="70DEEF03" w14:textId="1E78D1EE" w:rsidR="00F93013" w:rsidRPr="00990003" w:rsidRDefault="00FD1A0E" w:rsidP="002A0835">
            <w:pPr>
              <w:jc w:val="center"/>
              <w:rPr>
                <w:rFonts w:cs="Arial"/>
                <w:color w:val="000000"/>
                <w:sz w:val="20"/>
                <w:szCs w:val="20"/>
                <w:lang w:eastAsia="en-US"/>
              </w:rPr>
            </w:pPr>
            <w:r>
              <w:rPr>
                <w:rFonts w:cs="Arial"/>
                <w:color w:val="000000"/>
                <w:sz w:val="20"/>
                <w:szCs w:val="20"/>
                <w:lang w:eastAsia="en-US"/>
              </w:rPr>
              <w:t>23</w:t>
            </w:r>
          </w:p>
        </w:tc>
        <w:tc>
          <w:tcPr>
            <w:tcW w:w="800" w:type="pct"/>
            <w:tcBorders>
              <w:top w:val="nil"/>
              <w:left w:val="nil"/>
              <w:bottom w:val="single" w:sz="4" w:space="0" w:color="auto"/>
              <w:right w:val="single" w:sz="8" w:space="0" w:color="auto"/>
            </w:tcBorders>
            <w:shd w:val="clear" w:color="auto" w:fill="auto"/>
            <w:vAlign w:val="center"/>
          </w:tcPr>
          <w:p w14:paraId="185DF2B9" w14:textId="76A436BE" w:rsidR="00F93013" w:rsidRPr="00990003" w:rsidRDefault="00FD1A0E" w:rsidP="002A0835">
            <w:pPr>
              <w:jc w:val="center"/>
              <w:rPr>
                <w:rFonts w:cs="Arial"/>
                <w:color w:val="000000"/>
                <w:sz w:val="20"/>
                <w:szCs w:val="20"/>
                <w:lang w:eastAsia="en-US"/>
              </w:rPr>
            </w:pPr>
            <w:r>
              <w:rPr>
                <w:rFonts w:cs="Arial"/>
                <w:color w:val="000000"/>
                <w:sz w:val="20"/>
                <w:szCs w:val="20"/>
                <w:lang w:eastAsia="en-US"/>
              </w:rPr>
              <w:t>8%</w:t>
            </w:r>
          </w:p>
        </w:tc>
      </w:tr>
      <w:tr w:rsidR="00F93013" w:rsidRPr="00990003" w14:paraId="0728967B" w14:textId="77777777" w:rsidTr="00F93013">
        <w:trPr>
          <w:trHeight w:val="340"/>
        </w:trPr>
        <w:tc>
          <w:tcPr>
            <w:tcW w:w="1800" w:type="pct"/>
            <w:tcBorders>
              <w:top w:val="nil"/>
              <w:left w:val="single" w:sz="8" w:space="0" w:color="auto"/>
              <w:bottom w:val="single" w:sz="4" w:space="0" w:color="auto"/>
              <w:right w:val="single" w:sz="8" w:space="0" w:color="auto"/>
            </w:tcBorders>
            <w:shd w:val="clear" w:color="auto" w:fill="auto"/>
            <w:noWrap/>
            <w:vAlign w:val="center"/>
          </w:tcPr>
          <w:p w14:paraId="08AC56D0" w14:textId="252AFA1A" w:rsidR="00F93013" w:rsidRPr="00990003" w:rsidRDefault="00F93013" w:rsidP="002A0835">
            <w:pPr>
              <w:jc w:val="right"/>
              <w:rPr>
                <w:rFonts w:cs="Arial"/>
                <w:color w:val="000000"/>
                <w:sz w:val="20"/>
                <w:szCs w:val="20"/>
                <w:lang w:eastAsia="en-US"/>
              </w:rPr>
            </w:pPr>
            <w:r w:rsidRPr="00990003">
              <w:rPr>
                <w:rFonts w:cs="Arial"/>
                <w:color w:val="000000"/>
                <w:sz w:val="20"/>
                <w:szCs w:val="20"/>
                <w:lang w:eastAsia="en-US"/>
              </w:rPr>
              <w:t>Group of Students</w:t>
            </w:r>
            <w:r w:rsidR="00FD1A0E">
              <w:rPr>
                <w:rFonts w:cs="Arial"/>
                <w:color w:val="000000"/>
                <w:sz w:val="20"/>
                <w:szCs w:val="20"/>
                <w:lang w:eastAsia="en-US"/>
              </w:rPr>
              <w:t>*</w:t>
            </w:r>
          </w:p>
        </w:tc>
        <w:tc>
          <w:tcPr>
            <w:tcW w:w="800" w:type="pct"/>
            <w:tcBorders>
              <w:top w:val="nil"/>
              <w:left w:val="nil"/>
              <w:bottom w:val="single" w:sz="4" w:space="0" w:color="auto"/>
              <w:right w:val="single" w:sz="8" w:space="0" w:color="auto"/>
            </w:tcBorders>
            <w:vAlign w:val="center"/>
          </w:tcPr>
          <w:p w14:paraId="0807176C" w14:textId="4C3FC7EA" w:rsidR="00F93013" w:rsidRPr="00990003" w:rsidRDefault="00FA7CCB" w:rsidP="002A0835">
            <w:pPr>
              <w:jc w:val="center"/>
              <w:rPr>
                <w:rFonts w:cs="Arial"/>
                <w:color w:val="000000"/>
                <w:sz w:val="20"/>
                <w:szCs w:val="20"/>
              </w:rPr>
            </w:pPr>
            <w:r>
              <w:rPr>
                <w:rFonts w:cs="Arial"/>
                <w:color w:val="000000"/>
                <w:sz w:val="20"/>
                <w:szCs w:val="20"/>
              </w:rPr>
              <w:t>&lt;5</w:t>
            </w:r>
          </w:p>
        </w:tc>
        <w:tc>
          <w:tcPr>
            <w:tcW w:w="800" w:type="pct"/>
            <w:tcBorders>
              <w:top w:val="nil"/>
              <w:left w:val="nil"/>
              <w:bottom w:val="single" w:sz="4" w:space="0" w:color="auto"/>
              <w:right w:val="single" w:sz="8" w:space="0" w:color="auto"/>
            </w:tcBorders>
            <w:vAlign w:val="center"/>
          </w:tcPr>
          <w:p w14:paraId="568B20A2" w14:textId="3B56BC5E" w:rsidR="00F93013" w:rsidRPr="00990003" w:rsidRDefault="00FA7CCB" w:rsidP="002A0835">
            <w:pPr>
              <w:jc w:val="center"/>
              <w:rPr>
                <w:rFonts w:cs="Arial"/>
                <w:color w:val="000000"/>
                <w:sz w:val="20"/>
                <w:szCs w:val="20"/>
              </w:rPr>
            </w:pPr>
            <w:r>
              <w:rPr>
                <w:rFonts w:cs="Arial"/>
                <w:color w:val="000000"/>
                <w:sz w:val="20"/>
                <w:szCs w:val="20"/>
              </w:rPr>
              <w:t>0%</w:t>
            </w:r>
          </w:p>
        </w:tc>
        <w:tc>
          <w:tcPr>
            <w:tcW w:w="800" w:type="pct"/>
            <w:tcBorders>
              <w:top w:val="nil"/>
              <w:left w:val="nil"/>
              <w:bottom w:val="single" w:sz="4" w:space="0" w:color="auto"/>
              <w:right w:val="single" w:sz="8" w:space="0" w:color="auto"/>
            </w:tcBorders>
            <w:vAlign w:val="center"/>
          </w:tcPr>
          <w:p w14:paraId="22680610" w14:textId="1C1A5DE5" w:rsidR="00F93013" w:rsidRPr="00990003" w:rsidRDefault="00FD1A0E" w:rsidP="002A0835">
            <w:pPr>
              <w:jc w:val="center"/>
              <w:rPr>
                <w:rFonts w:cs="Arial"/>
                <w:color w:val="000000"/>
                <w:sz w:val="20"/>
                <w:szCs w:val="20"/>
                <w:lang w:eastAsia="en-US"/>
              </w:rPr>
            </w:pPr>
            <w:r>
              <w:rPr>
                <w:rFonts w:cs="Arial"/>
                <w:color w:val="000000"/>
                <w:sz w:val="20"/>
                <w:szCs w:val="20"/>
                <w:lang w:eastAsia="en-US"/>
              </w:rPr>
              <w:t>9</w:t>
            </w:r>
          </w:p>
        </w:tc>
        <w:tc>
          <w:tcPr>
            <w:tcW w:w="800" w:type="pct"/>
            <w:tcBorders>
              <w:top w:val="nil"/>
              <w:left w:val="nil"/>
              <w:bottom w:val="single" w:sz="4" w:space="0" w:color="auto"/>
              <w:right w:val="single" w:sz="8" w:space="0" w:color="auto"/>
            </w:tcBorders>
            <w:shd w:val="clear" w:color="auto" w:fill="auto"/>
            <w:vAlign w:val="center"/>
          </w:tcPr>
          <w:p w14:paraId="326FD419" w14:textId="49BB8DED" w:rsidR="00F93013" w:rsidRPr="00990003" w:rsidRDefault="00FD1A0E" w:rsidP="002A0835">
            <w:pPr>
              <w:jc w:val="center"/>
              <w:rPr>
                <w:rFonts w:cs="Arial"/>
                <w:color w:val="000000"/>
                <w:sz w:val="20"/>
                <w:szCs w:val="20"/>
                <w:lang w:eastAsia="en-US"/>
              </w:rPr>
            </w:pPr>
            <w:r>
              <w:rPr>
                <w:rFonts w:cs="Arial"/>
                <w:color w:val="000000"/>
                <w:sz w:val="20"/>
                <w:szCs w:val="20"/>
                <w:lang w:eastAsia="en-US"/>
              </w:rPr>
              <w:t>3%</w:t>
            </w:r>
          </w:p>
        </w:tc>
      </w:tr>
      <w:tr w:rsidR="00F93013" w:rsidRPr="00990003" w14:paraId="491705A3" w14:textId="77777777" w:rsidTr="00F93013">
        <w:trPr>
          <w:trHeight w:val="340"/>
        </w:trPr>
        <w:tc>
          <w:tcPr>
            <w:tcW w:w="1800" w:type="pct"/>
            <w:tcBorders>
              <w:top w:val="nil"/>
              <w:left w:val="single" w:sz="8" w:space="0" w:color="auto"/>
              <w:bottom w:val="single" w:sz="4" w:space="0" w:color="auto"/>
              <w:right w:val="single" w:sz="8" w:space="0" w:color="auto"/>
            </w:tcBorders>
            <w:shd w:val="clear" w:color="auto" w:fill="auto"/>
            <w:noWrap/>
            <w:vAlign w:val="center"/>
            <w:hideMark/>
          </w:tcPr>
          <w:p w14:paraId="3B21A687" w14:textId="77777777" w:rsidR="00F93013" w:rsidRPr="00990003" w:rsidRDefault="00F93013" w:rsidP="002A0835">
            <w:pPr>
              <w:jc w:val="right"/>
              <w:rPr>
                <w:rFonts w:cs="Arial"/>
                <w:color w:val="000000"/>
                <w:sz w:val="20"/>
                <w:szCs w:val="20"/>
                <w:lang w:eastAsia="en-US"/>
              </w:rPr>
            </w:pPr>
            <w:r w:rsidRPr="00990003">
              <w:rPr>
                <w:rFonts w:cs="Arial"/>
                <w:color w:val="000000"/>
                <w:sz w:val="20"/>
                <w:szCs w:val="20"/>
                <w:lang w:eastAsia="en-US"/>
              </w:rPr>
              <w:t>Staff or Contracted Employee</w:t>
            </w:r>
          </w:p>
        </w:tc>
        <w:tc>
          <w:tcPr>
            <w:tcW w:w="800" w:type="pct"/>
            <w:tcBorders>
              <w:top w:val="nil"/>
              <w:left w:val="nil"/>
              <w:bottom w:val="single" w:sz="4" w:space="0" w:color="auto"/>
              <w:right w:val="single" w:sz="8" w:space="0" w:color="auto"/>
            </w:tcBorders>
            <w:vAlign w:val="center"/>
          </w:tcPr>
          <w:p w14:paraId="49A262FC" w14:textId="07384186" w:rsidR="00F93013" w:rsidRPr="00990003" w:rsidRDefault="00FA7CCB" w:rsidP="002A0835">
            <w:pPr>
              <w:jc w:val="center"/>
              <w:rPr>
                <w:rFonts w:cs="Arial"/>
                <w:color w:val="000000"/>
                <w:sz w:val="20"/>
                <w:szCs w:val="20"/>
                <w:lang w:eastAsia="en-US"/>
              </w:rPr>
            </w:pPr>
            <w:r>
              <w:rPr>
                <w:rFonts w:cs="Arial"/>
                <w:color w:val="000000"/>
                <w:sz w:val="20"/>
                <w:szCs w:val="20"/>
                <w:lang w:eastAsia="en-US"/>
              </w:rPr>
              <w:t>17</w:t>
            </w:r>
          </w:p>
        </w:tc>
        <w:tc>
          <w:tcPr>
            <w:tcW w:w="800" w:type="pct"/>
            <w:tcBorders>
              <w:top w:val="nil"/>
              <w:left w:val="nil"/>
              <w:bottom w:val="single" w:sz="4" w:space="0" w:color="auto"/>
              <w:right w:val="single" w:sz="8" w:space="0" w:color="auto"/>
            </w:tcBorders>
            <w:vAlign w:val="center"/>
          </w:tcPr>
          <w:p w14:paraId="14FE6B94" w14:textId="42009227" w:rsidR="00F93013" w:rsidRPr="00990003" w:rsidRDefault="00FA7CCB" w:rsidP="002A0835">
            <w:pPr>
              <w:jc w:val="center"/>
              <w:rPr>
                <w:rFonts w:cs="Arial"/>
                <w:color w:val="000000"/>
                <w:sz w:val="20"/>
                <w:szCs w:val="20"/>
                <w:lang w:eastAsia="en-US"/>
              </w:rPr>
            </w:pPr>
            <w:r>
              <w:rPr>
                <w:rFonts w:cs="Arial"/>
                <w:color w:val="000000"/>
                <w:sz w:val="20"/>
                <w:szCs w:val="20"/>
                <w:lang w:eastAsia="en-US"/>
              </w:rPr>
              <w:t>6%</w:t>
            </w:r>
          </w:p>
        </w:tc>
        <w:tc>
          <w:tcPr>
            <w:tcW w:w="800" w:type="pct"/>
            <w:tcBorders>
              <w:top w:val="nil"/>
              <w:left w:val="nil"/>
              <w:bottom w:val="single" w:sz="4" w:space="0" w:color="auto"/>
              <w:right w:val="single" w:sz="8" w:space="0" w:color="auto"/>
            </w:tcBorders>
            <w:vAlign w:val="center"/>
          </w:tcPr>
          <w:p w14:paraId="36F0B32B" w14:textId="647339A6" w:rsidR="00F93013" w:rsidRPr="00990003" w:rsidRDefault="00FD1A0E" w:rsidP="002A0835">
            <w:pPr>
              <w:jc w:val="center"/>
              <w:rPr>
                <w:rFonts w:cs="Arial"/>
                <w:color w:val="000000"/>
                <w:sz w:val="20"/>
                <w:szCs w:val="20"/>
                <w:lang w:eastAsia="en-US"/>
              </w:rPr>
            </w:pPr>
            <w:r>
              <w:rPr>
                <w:rFonts w:cs="Arial"/>
                <w:color w:val="000000"/>
                <w:sz w:val="20"/>
                <w:szCs w:val="20"/>
                <w:lang w:eastAsia="en-US"/>
              </w:rPr>
              <w:t>23</w:t>
            </w:r>
          </w:p>
        </w:tc>
        <w:tc>
          <w:tcPr>
            <w:tcW w:w="800" w:type="pct"/>
            <w:tcBorders>
              <w:top w:val="nil"/>
              <w:left w:val="nil"/>
              <w:bottom w:val="single" w:sz="4" w:space="0" w:color="auto"/>
              <w:right w:val="single" w:sz="8" w:space="0" w:color="auto"/>
            </w:tcBorders>
            <w:shd w:val="clear" w:color="auto" w:fill="auto"/>
            <w:vAlign w:val="center"/>
          </w:tcPr>
          <w:p w14:paraId="7F71BAC5" w14:textId="38ABDE32" w:rsidR="00F93013" w:rsidRPr="00990003" w:rsidRDefault="00FD1A0E" w:rsidP="002A0835">
            <w:pPr>
              <w:jc w:val="center"/>
              <w:rPr>
                <w:rFonts w:cs="Arial"/>
                <w:color w:val="000000"/>
                <w:sz w:val="20"/>
                <w:szCs w:val="20"/>
                <w:lang w:eastAsia="en-US"/>
              </w:rPr>
            </w:pPr>
            <w:r>
              <w:rPr>
                <w:rFonts w:cs="Arial"/>
                <w:color w:val="000000"/>
                <w:sz w:val="20"/>
                <w:szCs w:val="20"/>
                <w:lang w:eastAsia="en-US"/>
              </w:rPr>
              <w:t>8%</w:t>
            </w:r>
          </w:p>
        </w:tc>
      </w:tr>
      <w:tr w:rsidR="00F93013" w:rsidRPr="00990003" w14:paraId="291FB270" w14:textId="77777777" w:rsidTr="00F93013">
        <w:trPr>
          <w:trHeight w:val="340"/>
        </w:trPr>
        <w:tc>
          <w:tcPr>
            <w:tcW w:w="1800" w:type="pct"/>
            <w:tcBorders>
              <w:top w:val="nil"/>
              <w:left w:val="single" w:sz="8" w:space="0" w:color="auto"/>
              <w:bottom w:val="single" w:sz="4" w:space="0" w:color="auto"/>
              <w:right w:val="single" w:sz="8" w:space="0" w:color="auto"/>
            </w:tcBorders>
            <w:shd w:val="clear" w:color="auto" w:fill="auto"/>
            <w:noWrap/>
            <w:vAlign w:val="center"/>
            <w:hideMark/>
          </w:tcPr>
          <w:p w14:paraId="1340119D" w14:textId="77777777" w:rsidR="00F93013" w:rsidRPr="00990003" w:rsidRDefault="00F93013" w:rsidP="002A0835">
            <w:pPr>
              <w:jc w:val="right"/>
              <w:rPr>
                <w:rFonts w:cs="Arial"/>
                <w:color w:val="000000"/>
                <w:sz w:val="20"/>
                <w:szCs w:val="20"/>
                <w:lang w:eastAsia="en-US"/>
              </w:rPr>
            </w:pPr>
            <w:r w:rsidRPr="00990003">
              <w:rPr>
                <w:rFonts w:cs="Arial"/>
                <w:color w:val="000000"/>
                <w:sz w:val="20"/>
                <w:szCs w:val="20"/>
                <w:lang w:eastAsia="en-US"/>
              </w:rPr>
              <w:t>Not Affiliated with Durham University</w:t>
            </w:r>
          </w:p>
        </w:tc>
        <w:tc>
          <w:tcPr>
            <w:tcW w:w="800" w:type="pct"/>
            <w:tcBorders>
              <w:top w:val="nil"/>
              <w:left w:val="nil"/>
              <w:bottom w:val="single" w:sz="4" w:space="0" w:color="auto"/>
              <w:right w:val="single" w:sz="8" w:space="0" w:color="auto"/>
            </w:tcBorders>
            <w:vAlign w:val="center"/>
          </w:tcPr>
          <w:p w14:paraId="022F892B" w14:textId="14365AAB" w:rsidR="00F93013" w:rsidRPr="00990003" w:rsidRDefault="00FA7CCB" w:rsidP="002A0835">
            <w:pPr>
              <w:jc w:val="center"/>
              <w:rPr>
                <w:rFonts w:cs="Arial"/>
                <w:color w:val="000000"/>
                <w:sz w:val="20"/>
                <w:szCs w:val="20"/>
                <w:lang w:eastAsia="en-US"/>
              </w:rPr>
            </w:pPr>
            <w:r>
              <w:rPr>
                <w:rFonts w:cs="Arial"/>
                <w:color w:val="000000"/>
                <w:sz w:val="20"/>
                <w:szCs w:val="20"/>
                <w:lang w:eastAsia="en-US"/>
              </w:rPr>
              <w:t>5</w:t>
            </w:r>
          </w:p>
        </w:tc>
        <w:tc>
          <w:tcPr>
            <w:tcW w:w="800" w:type="pct"/>
            <w:tcBorders>
              <w:top w:val="nil"/>
              <w:left w:val="nil"/>
              <w:bottom w:val="single" w:sz="4" w:space="0" w:color="auto"/>
              <w:right w:val="single" w:sz="8" w:space="0" w:color="auto"/>
            </w:tcBorders>
            <w:vAlign w:val="center"/>
          </w:tcPr>
          <w:p w14:paraId="1BF06DE2" w14:textId="630EDF78" w:rsidR="00F93013" w:rsidRPr="00990003" w:rsidRDefault="00FA7CCB" w:rsidP="002A0835">
            <w:pPr>
              <w:jc w:val="center"/>
              <w:rPr>
                <w:rFonts w:cs="Arial"/>
                <w:color w:val="000000"/>
                <w:sz w:val="20"/>
                <w:szCs w:val="20"/>
                <w:lang w:eastAsia="en-US"/>
              </w:rPr>
            </w:pPr>
            <w:r>
              <w:rPr>
                <w:rFonts w:cs="Arial"/>
                <w:color w:val="000000"/>
                <w:sz w:val="20"/>
                <w:szCs w:val="20"/>
                <w:lang w:eastAsia="en-US"/>
              </w:rPr>
              <w:t>2%</w:t>
            </w:r>
          </w:p>
        </w:tc>
        <w:tc>
          <w:tcPr>
            <w:tcW w:w="800" w:type="pct"/>
            <w:tcBorders>
              <w:top w:val="nil"/>
              <w:left w:val="nil"/>
              <w:bottom w:val="single" w:sz="4" w:space="0" w:color="auto"/>
              <w:right w:val="single" w:sz="8" w:space="0" w:color="auto"/>
            </w:tcBorders>
            <w:vAlign w:val="center"/>
          </w:tcPr>
          <w:p w14:paraId="7CBAE951" w14:textId="08E6E4FF" w:rsidR="00F93013" w:rsidRPr="00990003" w:rsidRDefault="00FD1A0E" w:rsidP="002A0835">
            <w:pPr>
              <w:jc w:val="center"/>
              <w:rPr>
                <w:rFonts w:cs="Arial"/>
                <w:color w:val="000000"/>
                <w:sz w:val="20"/>
                <w:szCs w:val="20"/>
                <w:lang w:eastAsia="en-US"/>
              </w:rPr>
            </w:pPr>
            <w:r>
              <w:rPr>
                <w:rFonts w:cs="Arial"/>
                <w:color w:val="000000"/>
                <w:sz w:val="20"/>
                <w:szCs w:val="20"/>
                <w:lang w:eastAsia="en-US"/>
              </w:rPr>
              <w:t>31</w:t>
            </w:r>
          </w:p>
        </w:tc>
        <w:tc>
          <w:tcPr>
            <w:tcW w:w="800" w:type="pct"/>
            <w:tcBorders>
              <w:top w:val="nil"/>
              <w:left w:val="nil"/>
              <w:bottom w:val="single" w:sz="4" w:space="0" w:color="auto"/>
              <w:right w:val="single" w:sz="8" w:space="0" w:color="auto"/>
            </w:tcBorders>
            <w:shd w:val="clear" w:color="auto" w:fill="auto"/>
            <w:vAlign w:val="center"/>
          </w:tcPr>
          <w:p w14:paraId="71B43344" w14:textId="0EE2765D" w:rsidR="00F93013" w:rsidRPr="00990003" w:rsidRDefault="00FD1A0E" w:rsidP="002A0835">
            <w:pPr>
              <w:jc w:val="center"/>
              <w:rPr>
                <w:rFonts w:cs="Arial"/>
                <w:color w:val="000000"/>
                <w:sz w:val="20"/>
                <w:szCs w:val="20"/>
                <w:lang w:eastAsia="en-US"/>
              </w:rPr>
            </w:pPr>
            <w:r>
              <w:rPr>
                <w:rFonts w:cs="Arial"/>
                <w:color w:val="000000"/>
                <w:sz w:val="20"/>
                <w:szCs w:val="20"/>
                <w:lang w:eastAsia="en-US"/>
              </w:rPr>
              <w:t>11%</w:t>
            </w:r>
          </w:p>
        </w:tc>
      </w:tr>
      <w:tr w:rsidR="00F93013" w:rsidRPr="00990003" w14:paraId="49F30193" w14:textId="77777777" w:rsidTr="00F93013">
        <w:trPr>
          <w:trHeight w:val="340"/>
        </w:trPr>
        <w:tc>
          <w:tcPr>
            <w:tcW w:w="1800" w:type="pct"/>
            <w:tcBorders>
              <w:top w:val="nil"/>
              <w:left w:val="single" w:sz="8" w:space="0" w:color="auto"/>
              <w:bottom w:val="single" w:sz="4" w:space="0" w:color="auto"/>
              <w:right w:val="single" w:sz="8" w:space="0" w:color="auto"/>
            </w:tcBorders>
            <w:shd w:val="clear" w:color="auto" w:fill="auto"/>
            <w:noWrap/>
            <w:vAlign w:val="center"/>
          </w:tcPr>
          <w:p w14:paraId="400D3A8B" w14:textId="77777777" w:rsidR="00F93013" w:rsidRPr="00990003" w:rsidRDefault="00F93013" w:rsidP="002A0835">
            <w:pPr>
              <w:jc w:val="right"/>
              <w:rPr>
                <w:rFonts w:cs="Arial"/>
                <w:color w:val="000000"/>
                <w:sz w:val="20"/>
                <w:szCs w:val="20"/>
                <w:lang w:eastAsia="en-US"/>
              </w:rPr>
            </w:pPr>
            <w:r w:rsidRPr="00990003">
              <w:rPr>
                <w:rFonts w:cs="Arial"/>
                <w:color w:val="000000"/>
                <w:sz w:val="20"/>
                <w:szCs w:val="20"/>
                <w:lang w:eastAsia="en-US"/>
              </w:rPr>
              <w:t xml:space="preserve">Anonymous/Unknown </w:t>
            </w:r>
          </w:p>
        </w:tc>
        <w:tc>
          <w:tcPr>
            <w:tcW w:w="800" w:type="pct"/>
            <w:tcBorders>
              <w:top w:val="nil"/>
              <w:left w:val="nil"/>
              <w:bottom w:val="single" w:sz="4" w:space="0" w:color="auto"/>
              <w:right w:val="single" w:sz="8" w:space="0" w:color="auto"/>
            </w:tcBorders>
            <w:vAlign w:val="center"/>
          </w:tcPr>
          <w:p w14:paraId="11071ABE" w14:textId="5C7A34B1" w:rsidR="00F93013" w:rsidRPr="00990003" w:rsidRDefault="00FA7CCB" w:rsidP="002A0835">
            <w:pPr>
              <w:jc w:val="center"/>
              <w:rPr>
                <w:rFonts w:cs="Arial"/>
                <w:color w:val="000000"/>
                <w:sz w:val="20"/>
                <w:szCs w:val="20"/>
                <w:lang w:eastAsia="en-US"/>
              </w:rPr>
            </w:pPr>
            <w:r>
              <w:rPr>
                <w:rFonts w:cs="Arial"/>
                <w:color w:val="000000"/>
                <w:sz w:val="20"/>
                <w:szCs w:val="20"/>
                <w:lang w:eastAsia="en-US"/>
              </w:rPr>
              <w:t>16</w:t>
            </w:r>
          </w:p>
        </w:tc>
        <w:tc>
          <w:tcPr>
            <w:tcW w:w="800" w:type="pct"/>
            <w:tcBorders>
              <w:top w:val="nil"/>
              <w:left w:val="nil"/>
              <w:bottom w:val="single" w:sz="4" w:space="0" w:color="auto"/>
              <w:right w:val="single" w:sz="8" w:space="0" w:color="auto"/>
            </w:tcBorders>
            <w:vAlign w:val="center"/>
          </w:tcPr>
          <w:p w14:paraId="568BC7C1" w14:textId="2C0DE2B0" w:rsidR="001B43C8" w:rsidRPr="00990003" w:rsidRDefault="00FA7CCB" w:rsidP="001B43C8">
            <w:pPr>
              <w:jc w:val="center"/>
              <w:rPr>
                <w:rFonts w:cs="Arial"/>
                <w:color w:val="000000"/>
                <w:sz w:val="20"/>
                <w:szCs w:val="20"/>
                <w:lang w:eastAsia="en-US"/>
              </w:rPr>
            </w:pPr>
            <w:r>
              <w:rPr>
                <w:rFonts w:cs="Arial"/>
                <w:color w:val="000000"/>
                <w:sz w:val="20"/>
                <w:szCs w:val="20"/>
                <w:lang w:eastAsia="en-US"/>
              </w:rPr>
              <w:t>6%</w:t>
            </w:r>
          </w:p>
        </w:tc>
        <w:tc>
          <w:tcPr>
            <w:tcW w:w="800" w:type="pct"/>
            <w:tcBorders>
              <w:top w:val="nil"/>
              <w:left w:val="nil"/>
              <w:bottom w:val="single" w:sz="4" w:space="0" w:color="auto"/>
              <w:right w:val="single" w:sz="8" w:space="0" w:color="auto"/>
            </w:tcBorders>
            <w:vAlign w:val="center"/>
          </w:tcPr>
          <w:p w14:paraId="4567B69E" w14:textId="37557737" w:rsidR="00F93013" w:rsidRPr="00990003" w:rsidRDefault="00FD1A0E" w:rsidP="002A0835">
            <w:pPr>
              <w:jc w:val="center"/>
              <w:rPr>
                <w:rFonts w:cs="Arial"/>
                <w:color w:val="000000"/>
                <w:sz w:val="20"/>
                <w:szCs w:val="20"/>
                <w:lang w:eastAsia="en-US"/>
              </w:rPr>
            </w:pPr>
            <w:r>
              <w:rPr>
                <w:rFonts w:cs="Arial"/>
                <w:color w:val="000000"/>
                <w:sz w:val="20"/>
                <w:szCs w:val="20"/>
                <w:lang w:eastAsia="en-US"/>
              </w:rPr>
              <w:t>8</w:t>
            </w:r>
            <w:r w:rsidR="00806304">
              <w:rPr>
                <w:rFonts w:cs="Arial"/>
                <w:color w:val="000000"/>
                <w:sz w:val="20"/>
                <w:szCs w:val="20"/>
                <w:lang w:eastAsia="en-US"/>
              </w:rPr>
              <w:t>8</w:t>
            </w:r>
          </w:p>
        </w:tc>
        <w:tc>
          <w:tcPr>
            <w:tcW w:w="800" w:type="pct"/>
            <w:tcBorders>
              <w:top w:val="nil"/>
              <w:left w:val="nil"/>
              <w:bottom w:val="single" w:sz="4" w:space="0" w:color="auto"/>
              <w:right w:val="single" w:sz="8" w:space="0" w:color="auto"/>
            </w:tcBorders>
            <w:shd w:val="clear" w:color="auto" w:fill="auto"/>
            <w:vAlign w:val="center"/>
          </w:tcPr>
          <w:p w14:paraId="4B7B081C" w14:textId="0E77B4BA" w:rsidR="00F93013" w:rsidRPr="00990003" w:rsidRDefault="00FD1A0E" w:rsidP="002A0835">
            <w:pPr>
              <w:jc w:val="center"/>
              <w:rPr>
                <w:rFonts w:cs="Arial"/>
                <w:color w:val="000000"/>
                <w:sz w:val="20"/>
                <w:szCs w:val="20"/>
                <w:lang w:eastAsia="en-US"/>
              </w:rPr>
            </w:pPr>
            <w:r>
              <w:rPr>
                <w:rFonts w:cs="Arial"/>
                <w:color w:val="000000"/>
                <w:sz w:val="20"/>
                <w:szCs w:val="20"/>
                <w:lang w:eastAsia="en-US"/>
              </w:rPr>
              <w:t>33%</w:t>
            </w:r>
          </w:p>
        </w:tc>
      </w:tr>
      <w:tr w:rsidR="007E704E" w:rsidRPr="00990003" w14:paraId="3972FFF0" w14:textId="77777777" w:rsidTr="00FD1A0E">
        <w:trPr>
          <w:trHeight w:val="340"/>
        </w:trPr>
        <w:tc>
          <w:tcPr>
            <w:tcW w:w="1800" w:type="pct"/>
            <w:tcBorders>
              <w:top w:val="nil"/>
              <w:left w:val="single" w:sz="8" w:space="0" w:color="auto"/>
              <w:bottom w:val="single" w:sz="4" w:space="0" w:color="auto"/>
              <w:right w:val="single" w:sz="8" w:space="0" w:color="auto"/>
            </w:tcBorders>
            <w:shd w:val="clear" w:color="auto" w:fill="EAF1DD" w:themeFill="accent3" w:themeFillTint="33"/>
            <w:noWrap/>
            <w:vAlign w:val="center"/>
            <w:hideMark/>
          </w:tcPr>
          <w:p w14:paraId="0A90315B" w14:textId="77777777" w:rsidR="007E704E" w:rsidRPr="00990003" w:rsidRDefault="007E704E" w:rsidP="002A0835">
            <w:pPr>
              <w:jc w:val="right"/>
              <w:rPr>
                <w:rFonts w:cs="Arial"/>
                <w:color w:val="000000"/>
                <w:sz w:val="20"/>
                <w:szCs w:val="20"/>
                <w:lang w:eastAsia="en-US"/>
              </w:rPr>
            </w:pPr>
            <w:r w:rsidRPr="00990003">
              <w:rPr>
                <w:rFonts w:cs="Arial"/>
                <w:color w:val="000000"/>
                <w:sz w:val="20"/>
                <w:szCs w:val="20"/>
                <w:lang w:eastAsia="en-US"/>
              </w:rPr>
              <w:t>Total</w:t>
            </w:r>
          </w:p>
        </w:tc>
        <w:tc>
          <w:tcPr>
            <w:tcW w:w="1600" w:type="pct"/>
            <w:gridSpan w:val="2"/>
            <w:tcBorders>
              <w:top w:val="nil"/>
              <w:left w:val="nil"/>
              <w:bottom w:val="single" w:sz="4" w:space="0" w:color="auto"/>
              <w:right w:val="single" w:sz="8" w:space="0" w:color="auto"/>
            </w:tcBorders>
            <w:shd w:val="clear" w:color="auto" w:fill="EAF1DD" w:themeFill="accent3" w:themeFillTint="33"/>
            <w:vAlign w:val="center"/>
          </w:tcPr>
          <w:p w14:paraId="58C23870" w14:textId="5F9F7B03" w:rsidR="007E704E" w:rsidRPr="00990003" w:rsidRDefault="00FD1A0E" w:rsidP="002A0835">
            <w:pPr>
              <w:jc w:val="center"/>
              <w:rPr>
                <w:rFonts w:cs="Arial"/>
                <w:color w:val="000000"/>
                <w:sz w:val="20"/>
                <w:szCs w:val="20"/>
                <w:lang w:eastAsia="en-US"/>
              </w:rPr>
            </w:pPr>
            <w:r>
              <w:rPr>
                <w:rFonts w:cs="Arial"/>
                <w:color w:val="000000"/>
                <w:sz w:val="20"/>
                <w:szCs w:val="20"/>
                <w:lang w:eastAsia="en-US"/>
              </w:rPr>
              <w:t>274</w:t>
            </w:r>
          </w:p>
        </w:tc>
        <w:tc>
          <w:tcPr>
            <w:tcW w:w="1600" w:type="pct"/>
            <w:gridSpan w:val="2"/>
            <w:tcBorders>
              <w:top w:val="nil"/>
              <w:left w:val="nil"/>
              <w:bottom w:val="single" w:sz="4" w:space="0" w:color="auto"/>
              <w:right w:val="single" w:sz="8" w:space="0" w:color="auto"/>
            </w:tcBorders>
            <w:shd w:val="clear" w:color="auto" w:fill="EAF1DD" w:themeFill="accent3" w:themeFillTint="33"/>
            <w:vAlign w:val="center"/>
          </w:tcPr>
          <w:p w14:paraId="2DFC0C5C" w14:textId="7B23D47F" w:rsidR="007E704E" w:rsidRPr="00990003" w:rsidRDefault="00FD1A0E" w:rsidP="002A0835">
            <w:pPr>
              <w:jc w:val="center"/>
              <w:rPr>
                <w:rFonts w:cs="Arial"/>
                <w:color w:val="000000"/>
                <w:sz w:val="20"/>
                <w:szCs w:val="20"/>
                <w:lang w:eastAsia="en-US"/>
              </w:rPr>
            </w:pPr>
            <w:r>
              <w:rPr>
                <w:rFonts w:cs="Arial"/>
                <w:color w:val="000000"/>
                <w:sz w:val="20"/>
                <w:szCs w:val="20"/>
                <w:lang w:eastAsia="en-US"/>
              </w:rPr>
              <w:t>274</w:t>
            </w:r>
          </w:p>
        </w:tc>
      </w:tr>
      <w:tr w:rsidR="00FD1A0E" w:rsidRPr="00990003" w14:paraId="10C365D5" w14:textId="77777777" w:rsidTr="00FD1A0E">
        <w:trPr>
          <w:trHeight w:val="340"/>
        </w:trPr>
        <w:tc>
          <w:tcPr>
            <w:tcW w:w="5000" w:type="pct"/>
            <w:gridSpan w:val="5"/>
            <w:tcBorders>
              <w:top w:val="single" w:sz="4" w:space="0" w:color="auto"/>
              <w:left w:val="single" w:sz="8" w:space="0" w:color="auto"/>
              <w:bottom w:val="single" w:sz="4" w:space="0" w:color="auto"/>
            </w:tcBorders>
            <w:shd w:val="clear" w:color="auto" w:fill="EAF1DD" w:themeFill="accent3" w:themeFillTint="33"/>
            <w:noWrap/>
            <w:vAlign w:val="center"/>
          </w:tcPr>
          <w:p w14:paraId="3B06D919" w14:textId="287770AC" w:rsidR="00FD1A0E" w:rsidRDefault="00FD1A0E" w:rsidP="00FD1A0E">
            <w:pPr>
              <w:jc w:val="left"/>
              <w:rPr>
                <w:rFonts w:cs="Arial"/>
                <w:color w:val="000000"/>
                <w:sz w:val="20"/>
                <w:szCs w:val="20"/>
                <w:lang w:eastAsia="en-US"/>
              </w:rPr>
            </w:pPr>
            <w:r w:rsidRPr="00D908EC">
              <w:rPr>
                <w:rFonts w:cs="Arial"/>
                <w:bCs/>
                <w:sz w:val="18"/>
                <w:szCs w:val="18"/>
              </w:rPr>
              <w:t>*</w:t>
            </w:r>
            <w:r>
              <w:rPr>
                <w:rFonts w:cs="Arial"/>
                <w:color w:val="000000"/>
                <w:sz w:val="18"/>
                <w:szCs w:val="18"/>
                <w:lang w:eastAsia="en-US"/>
              </w:rPr>
              <w:t>Number of individuals in groups is unknown.</w:t>
            </w:r>
          </w:p>
        </w:tc>
      </w:tr>
    </w:tbl>
    <w:p w14:paraId="6620A80F" w14:textId="158E1FA5" w:rsidR="007E704E" w:rsidRDefault="007E704E">
      <w:pPr>
        <w:jc w:val="left"/>
        <w:rPr>
          <w:rFonts w:eastAsiaTheme="majorEastAsia" w:cstheme="majorBidi"/>
          <w:b/>
          <w:bCs/>
          <w:color w:val="68246D"/>
          <w:kern w:val="32"/>
        </w:rPr>
      </w:pPr>
    </w:p>
    <w:p w14:paraId="24C8DF70" w14:textId="77777777" w:rsidR="00921997" w:rsidRDefault="00921997">
      <w:pPr>
        <w:jc w:val="left"/>
        <w:rPr>
          <w:rFonts w:eastAsiaTheme="majorEastAsia" w:cstheme="majorBidi"/>
          <w:b/>
          <w:bCs/>
          <w:color w:val="68246D"/>
          <w:kern w:val="32"/>
        </w:rPr>
      </w:pPr>
    </w:p>
    <w:p w14:paraId="67E3D963" w14:textId="77777777" w:rsidR="00921997" w:rsidRDefault="00921997">
      <w:pPr>
        <w:jc w:val="left"/>
        <w:rPr>
          <w:rFonts w:eastAsiaTheme="majorEastAsia" w:cstheme="majorBidi"/>
          <w:b/>
          <w:bCs/>
          <w:color w:val="68246D"/>
          <w:kern w:val="32"/>
        </w:rPr>
      </w:pPr>
    </w:p>
    <w:p w14:paraId="45EBE3D8" w14:textId="77777777" w:rsidR="00921997" w:rsidRDefault="00921997">
      <w:pPr>
        <w:jc w:val="left"/>
        <w:rPr>
          <w:rFonts w:eastAsiaTheme="majorEastAsia" w:cstheme="majorBidi"/>
          <w:b/>
          <w:bCs/>
          <w:color w:val="68246D"/>
          <w:kern w:val="32"/>
        </w:rPr>
      </w:pPr>
    </w:p>
    <w:tbl>
      <w:tblPr>
        <w:tblW w:w="5000" w:type="pct"/>
        <w:tblLook w:val="04A0" w:firstRow="1" w:lastRow="0" w:firstColumn="1" w:lastColumn="0" w:noHBand="0" w:noVBand="1"/>
      </w:tblPr>
      <w:tblGrid>
        <w:gridCol w:w="3817"/>
        <w:gridCol w:w="1451"/>
        <w:gridCol w:w="1451"/>
        <w:gridCol w:w="1451"/>
        <w:gridCol w:w="1449"/>
      </w:tblGrid>
      <w:tr w:rsidR="007E704E" w:rsidRPr="00990003" w14:paraId="62289D4C" w14:textId="77777777" w:rsidTr="002A0835">
        <w:trPr>
          <w:trHeight w:val="340"/>
        </w:trPr>
        <w:tc>
          <w:tcPr>
            <w:tcW w:w="5000" w:type="pct"/>
            <w:gridSpan w:val="5"/>
            <w:tcBorders>
              <w:top w:val="single" w:sz="8" w:space="0" w:color="auto"/>
              <w:left w:val="single" w:sz="8" w:space="0" w:color="auto"/>
              <w:bottom w:val="single" w:sz="4" w:space="0" w:color="auto"/>
              <w:right w:val="single" w:sz="8" w:space="0" w:color="000000"/>
            </w:tcBorders>
            <w:shd w:val="clear" w:color="auto" w:fill="FABF8F" w:themeFill="accent6" w:themeFillTint="99"/>
            <w:vAlign w:val="center"/>
          </w:tcPr>
          <w:p w14:paraId="041985A4" w14:textId="740F894A" w:rsidR="007E704E" w:rsidRPr="00990003" w:rsidRDefault="007E704E" w:rsidP="002A0835">
            <w:pPr>
              <w:jc w:val="left"/>
              <w:rPr>
                <w:rFonts w:cs="Arial"/>
                <w:b/>
                <w:bCs/>
                <w:color w:val="000000"/>
                <w:sz w:val="20"/>
                <w:szCs w:val="20"/>
                <w:lang w:eastAsia="en-US"/>
              </w:rPr>
            </w:pPr>
            <w:r w:rsidRPr="00990003">
              <w:rPr>
                <w:rFonts w:cs="Arial"/>
                <w:b/>
                <w:bCs/>
                <w:color w:val="000000"/>
                <w:sz w:val="20"/>
                <w:szCs w:val="20"/>
                <w:lang w:eastAsia="en-US"/>
              </w:rPr>
              <w:lastRenderedPageBreak/>
              <w:t>Table 2. Gender of Reporting Parties and Responding Parties in incidents disclosed or anonymously reported during the 202</w:t>
            </w:r>
            <w:r w:rsidR="00D16698">
              <w:rPr>
                <w:rFonts w:cs="Arial"/>
                <w:b/>
                <w:bCs/>
                <w:color w:val="000000"/>
                <w:sz w:val="20"/>
                <w:szCs w:val="20"/>
                <w:lang w:eastAsia="en-US"/>
              </w:rPr>
              <w:t>2/23</w:t>
            </w:r>
            <w:r w:rsidR="009E3A50" w:rsidRPr="00990003">
              <w:rPr>
                <w:rFonts w:cs="Arial"/>
                <w:b/>
                <w:bCs/>
                <w:color w:val="000000"/>
                <w:sz w:val="20"/>
                <w:szCs w:val="20"/>
                <w:lang w:eastAsia="en-US"/>
              </w:rPr>
              <w:t xml:space="preserve"> </w:t>
            </w:r>
            <w:r w:rsidRPr="00990003">
              <w:rPr>
                <w:rFonts w:cs="Arial"/>
                <w:b/>
                <w:bCs/>
                <w:color w:val="000000"/>
                <w:sz w:val="20"/>
                <w:szCs w:val="20"/>
                <w:lang w:eastAsia="en-US"/>
              </w:rPr>
              <w:t>Academic Year</w:t>
            </w:r>
          </w:p>
        </w:tc>
      </w:tr>
      <w:tr w:rsidR="007E704E" w:rsidRPr="00990003" w14:paraId="4160F7F5" w14:textId="77777777" w:rsidTr="007904F8">
        <w:trPr>
          <w:trHeight w:val="340"/>
        </w:trPr>
        <w:tc>
          <w:tcPr>
            <w:tcW w:w="1985" w:type="pct"/>
            <w:tcBorders>
              <w:top w:val="single" w:sz="8" w:space="0" w:color="auto"/>
              <w:left w:val="single" w:sz="8" w:space="0" w:color="auto"/>
              <w:bottom w:val="single" w:sz="4" w:space="0" w:color="auto"/>
              <w:right w:val="single" w:sz="8" w:space="0" w:color="000000"/>
            </w:tcBorders>
            <w:shd w:val="clear" w:color="auto" w:fill="FDE9D9" w:themeFill="accent6" w:themeFillTint="33"/>
            <w:vAlign w:val="center"/>
            <w:hideMark/>
          </w:tcPr>
          <w:p w14:paraId="4B2759B4" w14:textId="77777777" w:rsidR="007E704E" w:rsidRPr="00990003" w:rsidRDefault="007E704E" w:rsidP="002A0835">
            <w:pPr>
              <w:jc w:val="center"/>
              <w:rPr>
                <w:rFonts w:cs="Arial"/>
                <w:b/>
                <w:bCs/>
                <w:color w:val="000000"/>
                <w:sz w:val="20"/>
                <w:szCs w:val="20"/>
                <w:lang w:eastAsia="en-US"/>
              </w:rPr>
            </w:pPr>
            <w:r w:rsidRPr="00990003">
              <w:rPr>
                <w:rFonts w:cs="Arial"/>
                <w:b/>
                <w:bCs/>
                <w:color w:val="000000"/>
                <w:sz w:val="20"/>
                <w:szCs w:val="20"/>
                <w:lang w:eastAsia="en-US"/>
              </w:rPr>
              <w:t xml:space="preserve">Gender </w:t>
            </w:r>
          </w:p>
        </w:tc>
        <w:tc>
          <w:tcPr>
            <w:tcW w:w="1508" w:type="pct"/>
            <w:gridSpan w:val="2"/>
            <w:tcBorders>
              <w:top w:val="single" w:sz="8" w:space="0" w:color="auto"/>
              <w:left w:val="single" w:sz="8" w:space="0" w:color="auto"/>
              <w:bottom w:val="single" w:sz="4" w:space="0" w:color="auto"/>
              <w:right w:val="single" w:sz="8" w:space="0" w:color="000000"/>
            </w:tcBorders>
            <w:shd w:val="clear" w:color="auto" w:fill="FDE9D9" w:themeFill="accent6" w:themeFillTint="33"/>
            <w:vAlign w:val="center"/>
          </w:tcPr>
          <w:p w14:paraId="3FA93A36" w14:textId="77777777" w:rsidR="007E704E" w:rsidRPr="00990003" w:rsidRDefault="007E704E" w:rsidP="002A0835">
            <w:pPr>
              <w:jc w:val="center"/>
              <w:rPr>
                <w:rFonts w:cs="Arial"/>
                <w:b/>
                <w:bCs/>
                <w:color w:val="000000"/>
                <w:sz w:val="20"/>
                <w:szCs w:val="20"/>
                <w:lang w:eastAsia="en-US"/>
              </w:rPr>
            </w:pPr>
            <w:r w:rsidRPr="00990003">
              <w:rPr>
                <w:rFonts w:cs="Arial"/>
                <w:b/>
                <w:bCs/>
                <w:color w:val="000000"/>
                <w:sz w:val="20"/>
                <w:szCs w:val="20"/>
                <w:lang w:eastAsia="en-US"/>
              </w:rPr>
              <w:t>Reporting Party</w:t>
            </w:r>
          </w:p>
        </w:tc>
        <w:tc>
          <w:tcPr>
            <w:tcW w:w="1507" w:type="pct"/>
            <w:gridSpan w:val="2"/>
            <w:tcBorders>
              <w:top w:val="single" w:sz="8" w:space="0" w:color="auto"/>
              <w:left w:val="single" w:sz="8" w:space="0" w:color="auto"/>
              <w:bottom w:val="single" w:sz="4" w:space="0" w:color="auto"/>
              <w:right w:val="single" w:sz="8" w:space="0" w:color="000000"/>
            </w:tcBorders>
            <w:shd w:val="clear" w:color="auto" w:fill="FDE9D9" w:themeFill="accent6" w:themeFillTint="33"/>
            <w:vAlign w:val="center"/>
          </w:tcPr>
          <w:p w14:paraId="5A2B1211" w14:textId="77777777" w:rsidR="007E704E" w:rsidRPr="00990003" w:rsidRDefault="007E704E" w:rsidP="002A0835">
            <w:pPr>
              <w:jc w:val="center"/>
              <w:rPr>
                <w:rFonts w:cs="Arial"/>
                <w:b/>
                <w:bCs/>
                <w:color w:val="000000"/>
                <w:sz w:val="20"/>
                <w:szCs w:val="20"/>
                <w:lang w:eastAsia="en-US"/>
              </w:rPr>
            </w:pPr>
            <w:r w:rsidRPr="00990003">
              <w:rPr>
                <w:rFonts w:cs="Arial"/>
                <w:b/>
                <w:bCs/>
                <w:color w:val="000000"/>
                <w:sz w:val="20"/>
                <w:szCs w:val="20"/>
                <w:lang w:eastAsia="en-US"/>
              </w:rPr>
              <w:t>Responding Party</w:t>
            </w:r>
          </w:p>
        </w:tc>
      </w:tr>
      <w:tr w:rsidR="00F93013" w:rsidRPr="00990003" w14:paraId="22230B14" w14:textId="77777777" w:rsidTr="007904F8">
        <w:trPr>
          <w:trHeight w:val="340"/>
        </w:trPr>
        <w:tc>
          <w:tcPr>
            <w:tcW w:w="1985" w:type="pct"/>
            <w:tcBorders>
              <w:top w:val="nil"/>
              <w:left w:val="single" w:sz="8" w:space="0" w:color="auto"/>
              <w:bottom w:val="single" w:sz="4" w:space="0" w:color="auto"/>
              <w:right w:val="single" w:sz="8" w:space="0" w:color="auto"/>
            </w:tcBorders>
            <w:shd w:val="clear" w:color="auto" w:fill="auto"/>
            <w:noWrap/>
            <w:vAlign w:val="center"/>
            <w:hideMark/>
          </w:tcPr>
          <w:p w14:paraId="40154D6B" w14:textId="77777777" w:rsidR="00F93013" w:rsidRPr="00990003" w:rsidRDefault="00F93013" w:rsidP="002A0835">
            <w:pPr>
              <w:jc w:val="right"/>
              <w:rPr>
                <w:rFonts w:cs="Arial"/>
                <w:color w:val="000000"/>
                <w:sz w:val="20"/>
                <w:szCs w:val="20"/>
                <w:lang w:eastAsia="en-US"/>
              </w:rPr>
            </w:pPr>
            <w:r w:rsidRPr="00990003">
              <w:rPr>
                <w:rFonts w:cs="Arial"/>
                <w:color w:val="000000"/>
                <w:sz w:val="20"/>
                <w:szCs w:val="20"/>
                <w:lang w:eastAsia="en-US"/>
              </w:rPr>
              <w:t>Woman</w:t>
            </w:r>
          </w:p>
        </w:tc>
        <w:tc>
          <w:tcPr>
            <w:tcW w:w="754" w:type="pct"/>
            <w:tcBorders>
              <w:top w:val="nil"/>
              <w:left w:val="nil"/>
              <w:bottom w:val="single" w:sz="4" w:space="0" w:color="auto"/>
              <w:right w:val="single" w:sz="8" w:space="0" w:color="auto"/>
            </w:tcBorders>
            <w:vAlign w:val="center"/>
          </w:tcPr>
          <w:p w14:paraId="0E4FCB1C" w14:textId="49484C65" w:rsidR="00F93013" w:rsidRPr="00990003" w:rsidRDefault="00D908EC" w:rsidP="00D908EC">
            <w:pPr>
              <w:jc w:val="center"/>
              <w:rPr>
                <w:rFonts w:cs="Arial"/>
                <w:b/>
                <w:bCs/>
                <w:color w:val="000000"/>
                <w:sz w:val="20"/>
                <w:szCs w:val="20"/>
                <w:lang w:eastAsia="en-US"/>
              </w:rPr>
            </w:pPr>
            <w:r>
              <w:rPr>
                <w:rFonts w:cs="Arial"/>
                <w:b/>
                <w:bCs/>
                <w:color w:val="000000"/>
                <w:sz w:val="20"/>
                <w:szCs w:val="20"/>
                <w:lang w:eastAsia="en-US"/>
              </w:rPr>
              <w:t>206</w:t>
            </w:r>
          </w:p>
        </w:tc>
        <w:tc>
          <w:tcPr>
            <w:tcW w:w="754" w:type="pct"/>
            <w:tcBorders>
              <w:top w:val="nil"/>
              <w:left w:val="nil"/>
              <w:bottom w:val="single" w:sz="4" w:space="0" w:color="auto"/>
              <w:right w:val="single" w:sz="8" w:space="0" w:color="auto"/>
            </w:tcBorders>
            <w:vAlign w:val="center"/>
          </w:tcPr>
          <w:p w14:paraId="0C47CC6E" w14:textId="19582348" w:rsidR="00F93013" w:rsidRPr="00990003" w:rsidRDefault="00D908EC" w:rsidP="00D908EC">
            <w:pPr>
              <w:jc w:val="center"/>
              <w:rPr>
                <w:rFonts w:cs="Arial"/>
                <w:b/>
                <w:bCs/>
                <w:color w:val="000000"/>
                <w:sz w:val="20"/>
                <w:szCs w:val="20"/>
                <w:lang w:eastAsia="en-US"/>
              </w:rPr>
            </w:pPr>
            <w:r>
              <w:rPr>
                <w:rFonts w:cs="Arial"/>
                <w:b/>
                <w:bCs/>
                <w:color w:val="000000"/>
                <w:sz w:val="20"/>
                <w:szCs w:val="20"/>
                <w:lang w:eastAsia="en-US"/>
              </w:rPr>
              <w:t>75%</w:t>
            </w:r>
          </w:p>
        </w:tc>
        <w:tc>
          <w:tcPr>
            <w:tcW w:w="754" w:type="pct"/>
            <w:tcBorders>
              <w:top w:val="nil"/>
              <w:left w:val="nil"/>
              <w:bottom w:val="single" w:sz="4" w:space="0" w:color="auto"/>
              <w:right w:val="single" w:sz="8" w:space="0" w:color="auto"/>
            </w:tcBorders>
            <w:vAlign w:val="center"/>
          </w:tcPr>
          <w:p w14:paraId="56433D6A" w14:textId="4A899A2D" w:rsidR="00D908EC" w:rsidRPr="00990003" w:rsidRDefault="00D908EC" w:rsidP="00D908EC">
            <w:pPr>
              <w:jc w:val="center"/>
              <w:rPr>
                <w:rFonts w:cs="Arial"/>
                <w:color w:val="000000"/>
                <w:sz w:val="20"/>
                <w:szCs w:val="20"/>
                <w:lang w:eastAsia="en-US"/>
              </w:rPr>
            </w:pPr>
            <w:r>
              <w:rPr>
                <w:rFonts w:cs="Arial"/>
                <w:color w:val="000000"/>
                <w:sz w:val="20"/>
                <w:szCs w:val="20"/>
                <w:lang w:eastAsia="en-US"/>
              </w:rPr>
              <w:t>15</w:t>
            </w:r>
          </w:p>
        </w:tc>
        <w:tc>
          <w:tcPr>
            <w:tcW w:w="753" w:type="pct"/>
            <w:tcBorders>
              <w:top w:val="nil"/>
              <w:left w:val="nil"/>
              <w:bottom w:val="single" w:sz="4" w:space="0" w:color="auto"/>
              <w:right w:val="single" w:sz="8" w:space="0" w:color="auto"/>
            </w:tcBorders>
            <w:vAlign w:val="center"/>
          </w:tcPr>
          <w:p w14:paraId="397A412C" w14:textId="7804DF07" w:rsidR="00F93013" w:rsidRPr="00990003" w:rsidRDefault="00D908EC" w:rsidP="00D908EC">
            <w:pPr>
              <w:jc w:val="center"/>
              <w:rPr>
                <w:rFonts w:cs="Arial"/>
                <w:color w:val="000000"/>
                <w:sz w:val="20"/>
                <w:szCs w:val="20"/>
                <w:lang w:eastAsia="en-US"/>
              </w:rPr>
            </w:pPr>
            <w:r>
              <w:rPr>
                <w:rFonts w:cs="Arial"/>
                <w:color w:val="000000"/>
                <w:sz w:val="20"/>
                <w:szCs w:val="20"/>
                <w:lang w:eastAsia="en-US"/>
              </w:rPr>
              <w:t>5%</w:t>
            </w:r>
          </w:p>
        </w:tc>
      </w:tr>
      <w:tr w:rsidR="00F93013" w:rsidRPr="00990003" w14:paraId="5A603D82" w14:textId="77777777" w:rsidTr="007904F8">
        <w:trPr>
          <w:trHeight w:val="340"/>
        </w:trPr>
        <w:tc>
          <w:tcPr>
            <w:tcW w:w="1985" w:type="pct"/>
            <w:tcBorders>
              <w:top w:val="nil"/>
              <w:left w:val="single" w:sz="8" w:space="0" w:color="auto"/>
              <w:bottom w:val="single" w:sz="4" w:space="0" w:color="auto"/>
              <w:right w:val="single" w:sz="8" w:space="0" w:color="auto"/>
            </w:tcBorders>
            <w:shd w:val="clear" w:color="auto" w:fill="auto"/>
            <w:noWrap/>
            <w:vAlign w:val="center"/>
            <w:hideMark/>
          </w:tcPr>
          <w:p w14:paraId="356CCCCB" w14:textId="77777777" w:rsidR="00F93013" w:rsidRPr="00990003" w:rsidRDefault="00F93013" w:rsidP="002A0835">
            <w:pPr>
              <w:jc w:val="right"/>
              <w:rPr>
                <w:rFonts w:cs="Arial"/>
                <w:color w:val="000000"/>
                <w:sz w:val="20"/>
                <w:szCs w:val="20"/>
                <w:lang w:eastAsia="en-US"/>
              </w:rPr>
            </w:pPr>
            <w:r w:rsidRPr="00990003">
              <w:rPr>
                <w:rFonts w:cs="Arial"/>
                <w:color w:val="000000"/>
                <w:sz w:val="20"/>
                <w:szCs w:val="20"/>
                <w:lang w:eastAsia="en-US"/>
              </w:rPr>
              <w:t>Man</w:t>
            </w:r>
          </w:p>
        </w:tc>
        <w:tc>
          <w:tcPr>
            <w:tcW w:w="754" w:type="pct"/>
            <w:tcBorders>
              <w:top w:val="nil"/>
              <w:left w:val="nil"/>
              <w:bottom w:val="single" w:sz="4" w:space="0" w:color="auto"/>
              <w:right w:val="single" w:sz="8" w:space="0" w:color="auto"/>
            </w:tcBorders>
            <w:vAlign w:val="center"/>
          </w:tcPr>
          <w:p w14:paraId="1BAE0EF6" w14:textId="3B9BB3AC" w:rsidR="00F93013" w:rsidRPr="00990003" w:rsidRDefault="00D908EC" w:rsidP="00D908EC">
            <w:pPr>
              <w:jc w:val="center"/>
              <w:rPr>
                <w:rFonts w:cs="Arial"/>
                <w:color w:val="000000"/>
                <w:sz w:val="20"/>
                <w:szCs w:val="20"/>
                <w:lang w:eastAsia="en-US"/>
              </w:rPr>
            </w:pPr>
            <w:r>
              <w:rPr>
                <w:rFonts w:cs="Arial"/>
                <w:color w:val="000000"/>
                <w:sz w:val="20"/>
                <w:szCs w:val="20"/>
                <w:lang w:eastAsia="en-US"/>
              </w:rPr>
              <w:t>41</w:t>
            </w:r>
          </w:p>
        </w:tc>
        <w:tc>
          <w:tcPr>
            <w:tcW w:w="754" w:type="pct"/>
            <w:tcBorders>
              <w:top w:val="nil"/>
              <w:left w:val="nil"/>
              <w:bottom w:val="single" w:sz="4" w:space="0" w:color="auto"/>
              <w:right w:val="single" w:sz="8" w:space="0" w:color="auto"/>
            </w:tcBorders>
            <w:vAlign w:val="center"/>
          </w:tcPr>
          <w:p w14:paraId="29F94903" w14:textId="0DDC5E23" w:rsidR="00F93013" w:rsidRPr="00990003" w:rsidRDefault="00D908EC" w:rsidP="00D908EC">
            <w:pPr>
              <w:jc w:val="center"/>
              <w:rPr>
                <w:rFonts w:cs="Arial"/>
                <w:color w:val="000000"/>
                <w:sz w:val="20"/>
                <w:szCs w:val="20"/>
                <w:lang w:eastAsia="en-US"/>
              </w:rPr>
            </w:pPr>
            <w:r>
              <w:rPr>
                <w:rFonts w:cs="Arial"/>
                <w:color w:val="000000"/>
                <w:sz w:val="20"/>
                <w:szCs w:val="20"/>
                <w:lang w:eastAsia="en-US"/>
              </w:rPr>
              <w:t>15%</w:t>
            </w:r>
          </w:p>
        </w:tc>
        <w:tc>
          <w:tcPr>
            <w:tcW w:w="754" w:type="pct"/>
            <w:tcBorders>
              <w:top w:val="nil"/>
              <w:left w:val="nil"/>
              <w:bottom w:val="single" w:sz="4" w:space="0" w:color="auto"/>
              <w:right w:val="single" w:sz="8" w:space="0" w:color="auto"/>
            </w:tcBorders>
            <w:vAlign w:val="center"/>
          </w:tcPr>
          <w:p w14:paraId="316487F5" w14:textId="0F2C689C" w:rsidR="00F93013" w:rsidRPr="00990003" w:rsidRDefault="00D908EC" w:rsidP="00D908EC">
            <w:pPr>
              <w:jc w:val="center"/>
              <w:rPr>
                <w:rFonts w:cs="Arial"/>
                <w:b/>
                <w:bCs/>
                <w:color w:val="000000"/>
                <w:sz w:val="20"/>
                <w:szCs w:val="20"/>
                <w:lang w:eastAsia="en-US"/>
              </w:rPr>
            </w:pPr>
            <w:r>
              <w:rPr>
                <w:rFonts w:cs="Arial"/>
                <w:b/>
                <w:bCs/>
                <w:color w:val="000000"/>
                <w:sz w:val="20"/>
                <w:szCs w:val="20"/>
                <w:lang w:eastAsia="en-US"/>
              </w:rPr>
              <w:t>17</w:t>
            </w:r>
            <w:r w:rsidR="00A57AB0">
              <w:rPr>
                <w:rFonts w:cs="Arial"/>
                <w:b/>
                <w:bCs/>
                <w:color w:val="000000"/>
                <w:sz w:val="20"/>
                <w:szCs w:val="20"/>
                <w:lang w:eastAsia="en-US"/>
              </w:rPr>
              <w:t>9</w:t>
            </w:r>
          </w:p>
        </w:tc>
        <w:tc>
          <w:tcPr>
            <w:tcW w:w="753" w:type="pct"/>
            <w:tcBorders>
              <w:top w:val="nil"/>
              <w:left w:val="nil"/>
              <w:bottom w:val="single" w:sz="4" w:space="0" w:color="auto"/>
              <w:right w:val="single" w:sz="8" w:space="0" w:color="auto"/>
            </w:tcBorders>
            <w:vAlign w:val="center"/>
          </w:tcPr>
          <w:p w14:paraId="5B72B395" w14:textId="36867C21" w:rsidR="00F93013" w:rsidRPr="00990003" w:rsidRDefault="00373491" w:rsidP="00D908EC">
            <w:pPr>
              <w:jc w:val="center"/>
              <w:rPr>
                <w:rFonts w:cs="Arial"/>
                <w:b/>
                <w:bCs/>
                <w:color w:val="000000"/>
                <w:sz w:val="20"/>
                <w:szCs w:val="20"/>
                <w:lang w:eastAsia="en-US"/>
              </w:rPr>
            </w:pPr>
            <w:r>
              <w:rPr>
                <w:rFonts w:cs="Arial"/>
                <w:b/>
                <w:bCs/>
                <w:color w:val="000000"/>
                <w:sz w:val="20"/>
                <w:szCs w:val="20"/>
                <w:lang w:eastAsia="en-US"/>
              </w:rPr>
              <w:t>65</w:t>
            </w:r>
            <w:r w:rsidR="00D908EC">
              <w:rPr>
                <w:rFonts w:cs="Arial"/>
                <w:b/>
                <w:bCs/>
                <w:color w:val="000000"/>
                <w:sz w:val="20"/>
                <w:szCs w:val="20"/>
                <w:lang w:eastAsia="en-US"/>
              </w:rPr>
              <w:t>%</w:t>
            </w:r>
          </w:p>
        </w:tc>
      </w:tr>
      <w:tr w:rsidR="00F93013" w:rsidRPr="00990003" w14:paraId="6CCF3D3B" w14:textId="77777777" w:rsidTr="007904F8">
        <w:trPr>
          <w:trHeight w:val="340"/>
        </w:trPr>
        <w:tc>
          <w:tcPr>
            <w:tcW w:w="1985" w:type="pct"/>
            <w:tcBorders>
              <w:top w:val="nil"/>
              <w:left w:val="single" w:sz="8" w:space="0" w:color="auto"/>
              <w:bottom w:val="single" w:sz="4" w:space="0" w:color="auto"/>
              <w:right w:val="single" w:sz="8" w:space="0" w:color="auto"/>
            </w:tcBorders>
            <w:shd w:val="clear" w:color="auto" w:fill="auto"/>
            <w:noWrap/>
            <w:vAlign w:val="center"/>
            <w:hideMark/>
          </w:tcPr>
          <w:p w14:paraId="39249106" w14:textId="77777777" w:rsidR="00F93013" w:rsidRPr="00990003" w:rsidRDefault="00F93013" w:rsidP="002A0835">
            <w:pPr>
              <w:jc w:val="right"/>
              <w:rPr>
                <w:rFonts w:cs="Arial"/>
                <w:color w:val="000000"/>
                <w:sz w:val="20"/>
                <w:szCs w:val="20"/>
                <w:lang w:eastAsia="en-US"/>
              </w:rPr>
            </w:pPr>
            <w:r w:rsidRPr="00990003">
              <w:rPr>
                <w:rFonts w:cs="Arial"/>
                <w:color w:val="000000"/>
                <w:sz w:val="20"/>
                <w:szCs w:val="20"/>
                <w:lang w:eastAsia="en-US"/>
              </w:rPr>
              <w:t>Non-Binary/Transgender</w:t>
            </w:r>
          </w:p>
        </w:tc>
        <w:tc>
          <w:tcPr>
            <w:tcW w:w="754" w:type="pct"/>
            <w:tcBorders>
              <w:top w:val="nil"/>
              <w:left w:val="nil"/>
              <w:bottom w:val="single" w:sz="4" w:space="0" w:color="auto"/>
              <w:right w:val="single" w:sz="8" w:space="0" w:color="auto"/>
            </w:tcBorders>
            <w:vAlign w:val="center"/>
          </w:tcPr>
          <w:p w14:paraId="4E027ABD" w14:textId="5F4895F0" w:rsidR="00F93013" w:rsidRPr="00990003" w:rsidRDefault="00D908EC" w:rsidP="00D908EC">
            <w:pPr>
              <w:jc w:val="center"/>
              <w:rPr>
                <w:rFonts w:cs="Arial"/>
                <w:color w:val="000000"/>
                <w:sz w:val="20"/>
                <w:szCs w:val="20"/>
                <w:lang w:eastAsia="en-US"/>
              </w:rPr>
            </w:pPr>
            <w:r>
              <w:rPr>
                <w:rFonts w:cs="Arial"/>
                <w:color w:val="000000"/>
                <w:sz w:val="20"/>
                <w:szCs w:val="20"/>
                <w:lang w:eastAsia="en-US"/>
              </w:rPr>
              <w:t>9</w:t>
            </w:r>
          </w:p>
        </w:tc>
        <w:tc>
          <w:tcPr>
            <w:tcW w:w="754" w:type="pct"/>
            <w:tcBorders>
              <w:top w:val="nil"/>
              <w:left w:val="nil"/>
              <w:bottom w:val="single" w:sz="4" w:space="0" w:color="auto"/>
              <w:right w:val="single" w:sz="8" w:space="0" w:color="auto"/>
            </w:tcBorders>
            <w:vAlign w:val="center"/>
          </w:tcPr>
          <w:p w14:paraId="4ADC6321" w14:textId="5038BE3D" w:rsidR="00F93013" w:rsidRPr="00990003" w:rsidRDefault="00D908EC" w:rsidP="00D908EC">
            <w:pPr>
              <w:jc w:val="center"/>
              <w:rPr>
                <w:rFonts w:cs="Arial"/>
                <w:color w:val="000000"/>
                <w:sz w:val="20"/>
                <w:szCs w:val="20"/>
                <w:lang w:eastAsia="en-US"/>
              </w:rPr>
            </w:pPr>
            <w:r>
              <w:rPr>
                <w:rFonts w:cs="Arial"/>
                <w:color w:val="000000"/>
                <w:sz w:val="20"/>
                <w:szCs w:val="20"/>
                <w:lang w:eastAsia="en-US"/>
              </w:rPr>
              <w:t>3%</w:t>
            </w:r>
          </w:p>
        </w:tc>
        <w:tc>
          <w:tcPr>
            <w:tcW w:w="754" w:type="pct"/>
            <w:tcBorders>
              <w:top w:val="nil"/>
              <w:left w:val="nil"/>
              <w:bottom w:val="single" w:sz="4" w:space="0" w:color="auto"/>
              <w:right w:val="single" w:sz="8" w:space="0" w:color="auto"/>
            </w:tcBorders>
            <w:vAlign w:val="center"/>
          </w:tcPr>
          <w:p w14:paraId="4736B6F9" w14:textId="69398C8C" w:rsidR="00F93013" w:rsidRPr="00990003" w:rsidRDefault="00D908EC" w:rsidP="00D908EC">
            <w:pPr>
              <w:jc w:val="center"/>
              <w:rPr>
                <w:rFonts w:cs="Arial"/>
                <w:color w:val="000000"/>
                <w:sz w:val="20"/>
                <w:szCs w:val="20"/>
                <w:lang w:eastAsia="en-US"/>
              </w:rPr>
            </w:pPr>
            <w:r>
              <w:rPr>
                <w:rFonts w:cs="Arial"/>
                <w:color w:val="000000"/>
                <w:sz w:val="20"/>
                <w:szCs w:val="20"/>
                <w:lang w:eastAsia="en-US"/>
              </w:rPr>
              <w:t>&lt;5</w:t>
            </w:r>
          </w:p>
        </w:tc>
        <w:tc>
          <w:tcPr>
            <w:tcW w:w="753" w:type="pct"/>
            <w:tcBorders>
              <w:top w:val="nil"/>
              <w:left w:val="nil"/>
              <w:bottom w:val="single" w:sz="4" w:space="0" w:color="auto"/>
              <w:right w:val="single" w:sz="8" w:space="0" w:color="auto"/>
            </w:tcBorders>
            <w:vAlign w:val="center"/>
          </w:tcPr>
          <w:p w14:paraId="03D3BB90" w14:textId="62984874" w:rsidR="00F93013" w:rsidRPr="00990003" w:rsidRDefault="00D908EC" w:rsidP="00D908EC">
            <w:pPr>
              <w:jc w:val="center"/>
              <w:rPr>
                <w:rFonts w:cs="Arial"/>
                <w:color w:val="000000"/>
                <w:sz w:val="20"/>
                <w:szCs w:val="20"/>
                <w:lang w:eastAsia="en-US"/>
              </w:rPr>
            </w:pPr>
            <w:r>
              <w:rPr>
                <w:rFonts w:cs="Arial"/>
                <w:color w:val="000000"/>
                <w:sz w:val="20"/>
                <w:szCs w:val="20"/>
                <w:lang w:eastAsia="en-US"/>
              </w:rPr>
              <w:t>1%</w:t>
            </w:r>
          </w:p>
        </w:tc>
      </w:tr>
      <w:tr w:rsidR="00F93013" w:rsidRPr="00990003" w14:paraId="3CD3A959" w14:textId="77777777" w:rsidTr="007904F8">
        <w:trPr>
          <w:trHeight w:val="340"/>
        </w:trPr>
        <w:tc>
          <w:tcPr>
            <w:tcW w:w="1985" w:type="pct"/>
            <w:tcBorders>
              <w:top w:val="nil"/>
              <w:left w:val="single" w:sz="8" w:space="0" w:color="auto"/>
              <w:bottom w:val="single" w:sz="4" w:space="0" w:color="auto"/>
              <w:right w:val="single" w:sz="8" w:space="0" w:color="auto"/>
            </w:tcBorders>
            <w:shd w:val="clear" w:color="auto" w:fill="auto"/>
            <w:noWrap/>
            <w:vAlign w:val="center"/>
            <w:hideMark/>
          </w:tcPr>
          <w:p w14:paraId="656CE9EE" w14:textId="50FB560D" w:rsidR="00F93013" w:rsidRPr="00990003" w:rsidRDefault="00F93013" w:rsidP="002A0835">
            <w:pPr>
              <w:jc w:val="right"/>
              <w:rPr>
                <w:rFonts w:cs="Arial"/>
                <w:color w:val="000000"/>
                <w:sz w:val="20"/>
                <w:szCs w:val="20"/>
                <w:lang w:eastAsia="en-US"/>
              </w:rPr>
            </w:pPr>
            <w:r w:rsidRPr="00990003">
              <w:rPr>
                <w:rFonts w:cs="Arial"/>
                <w:color w:val="000000"/>
                <w:sz w:val="20"/>
                <w:szCs w:val="20"/>
                <w:lang w:eastAsia="en-US"/>
              </w:rPr>
              <w:t>Anonymous/Unknown</w:t>
            </w:r>
            <w:r w:rsidR="00D908EC" w:rsidRPr="00990003">
              <w:rPr>
                <w:rFonts w:cs="Arial"/>
                <w:bCs/>
                <w:sz w:val="18"/>
                <w:szCs w:val="18"/>
              </w:rPr>
              <w:t>*</w:t>
            </w:r>
          </w:p>
        </w:tc>
        <w:tc>
          <w:tcPr>
            <w:tcW w:w="754" w:type="pct"/>
            <w:tcBorders>
              <w:top w:val="nil"/>
              <w:left w:val="nil"/>
              <w:bottom w:val="single" w:sz="4" w:space="0" w:color="auto"/>
              <w:right w:val="single" w:sz="8" w:space="0" w:color="auto"/>
            </w:tcBorders>
            <w:vAlign w:val="center"/>
          </w:tcPr>
          <w:p w14:paraId="7FE20565" w14:textId="0D839872" w:rsidR="00D908EC" w:rsidRPr="00990003" w:rsidRDefault="00D908EC" w:rsidP="00D908EC">
            <w:pPr>
              <w:jc w:val="center"/>
              <w:rPr>
                <w:rFonts w:cs="Arial"/>
                <w:color w:val="000000"/>
                <w:sz w:val="20"/>
                <w:szCs w:val="20"/>
                <w:lang w:eastAsia="en-US"/>
              </w:rPr>
            </w:pPr>
            <w:r>
              <w:rPr>
                <w:rFonts w:cs="Arial"/>
                <w:color w:val="000000"/>
                <w:sz w:val="20"/>
                <w:szCs w:val="20"/>
                <w:lang w:eastAsia="en-US"/>
              </w:rPr>
              <w:t>18</w:t>
            </w:r>
          </w:p>
        </w:tc>
        <w:tc>
          <w:tcPr>
            <w:tcW w:w="754" w:type="pct"/>
            <w:tcBorders>
              <w:top w:val="nil"/>
              <w:left w:val="nil"/>
              <w:bottom w:val="single" w:sz="4" w:space="0" w:color="auto"/>
              <w:right w:val="single" w:sz="8" w:space="0" w:color="auto"/>
            </w:tcBorders>
            <w:vAlign w:val="center"/>
          </w:tcPr>
          <w:p w14:paraId="1E574613" w14:textId="5A4ED1A0" w:rsidR="00F93013" w:rsidRPr="00990003" w:rsidRDefault="00D908EC" w:rsidP="00D908EC">
            <w:pPr>
              <w:jc w:val="center"/>
              <w:rPr>
                <w:rFonts w:cs="Arial"/>
                <w:color w:val="000000"/>
                <w:sz w:val="20"/>
                <w:szCs w:val="20"/>
                <w:lang w:eastAsia="en-US"/>
              </w:rPr>
            </w:pPr>
            <w:r>
              <w:rPr>
                <w:rFonts w:cs="Arial"/>
                <w:color w:val="000000"/>
                <w:sz w:val="20"/>
                <w:szCs w:val="20"/>
                <w:lang w:eastAsia="en-US"/>
              </w:rPr>
              <w:t>7%</w:t>
            </w:r>
          </w:p>
        </w:tc>
        <w:tc>
          <w:tcPr>
            <w:tcW w:w="754" w:type="pct"/>
            <w:tcBorders>
              <w:top w:val="nil"/>
              <w:left w:val="nil"/>
              <w:bottom w:val="single" w:sz="4" w:space="0" w:color="auto"/>
              <w:right w:val="single" w:sz="8" w:space="0" w:color="auto"/>
            </w:tcBorders>
            <w:vAlign w:val="center"/>
          </w:tcPr>
          <w:p w14:paraId="5207ED07" w14:textId="425CB0D1" w:rsidR="00D908EC" w:rsidRPr="00990003" w:rsidRDefault="00373491" w:rsidP="00373491">
            <w:pPr>
              <w:jc w:val="center"/>
              <w:rPr>
                <w:rFonts w:cs="Arial"/>
                <w:color w:val="000000"/>
                <w:sz w:val="20"/>
                <w:szCs w:val="20"/>
                <w:lang w:eastAsia="en-US"/>
              </w:rPr>
            </w:pPr>
            <w:r>
              <w:rPr>
                <w:rFonts w:cs="Arial"/>
                <w:color w:val="000000"/>
                <w:sz w:val="20"/>
                <w:szCs w:val="20"/>
                <w:lang w:eastAsia="en-US"/>
              </w:rPr>
              <w:t>7</w:t>
            </w:r>
            <w:r w:rsidR="00A57AB0">
              <w:rPr>
                <w:rFonts w:cs="Arial"/>
                <w:color w:val="000000"/>
                <w:sz w:val="20"/>
                <w:szCs w:val="20"/>
                <w:lang w:eastAsia="en-US"/>
              </w:rPr>
              <w:t>9</w:t>
            </w:r>
          </w:p>
        </w:tc>
        <w:tc>
          <w:tcPr>
            <w:tcW w:w="753" w:type="pct"/>
            <w:tcBorders>
              <w:top w:val="nil"/>
              <w:left w:val="nil"/>
              <w:bottom w:val="single" w:sz="4" w:space="0" w:color="auto"/>
              <w:right w:val="single" w:sz="8" w:space="0" w:color="auto"/>
            </w:tcBorders>
            <w:vAlign w:val="center"/>
          </w:tcPr>
          <w:p w14:paraId="15280EFC" w14:textId="287196EB" w:rsidR="00F93013" w:rsidRPr="00990003" w:rsidRDefault="00373491" w:rsidP="00D908EC">
            <w:pPr>
              <w:jc w:val="center"/>
              <w:rPr>
                <w:rFonts w:cs="Arial"/>
                <w:color w:val="000000"/>
                <w:sz w:val="20"/>
                <w:szCs w:val="20"/>
                <w:lang w:eastAsia="en-US"/>
              </w:rPr>
            </w:pPr>
            <w:r>
              <w:rPr>
                <w:rFonts w:cs="Arial"/>
                <w:color w:val="000000"/>
                <w:sz w:val="20"/>
                <w:szCs w:val="20"/>
                <w:lang w:eastAsia="en-US"/>
              </w:rPr>
              <w:t>29</w:t>
            </w:r>
            <w:r w:rsidR="00D908EC">
              <w:rPr>
                <w:rFonts w:cs="Arial"/>
                <w:color w:val="000000"/>
                <w:sz w:val="20"/>
                <w:szCs w:val="20"/>
                <w:lang w:eastAsia="en-US"/>
              </w:rPr>
              <w:t>%</w:t>
            </w:r>
          </w:p>
        </w:tc>
      </w:tr>
      <w:tr w:rsidR="007E704E" w:rsidRPr="00990003" w14:paraId="6405DC39" w14:textId="77777777" w:rsidTr="007904F8">
        <w:trPr>
          <w:trHeight w:val="340"/>
        </w:trPr>
        <w:tc>
          <w:tcPr>
            <w:tcW w:w="1985" w:type="pct"/>
            <w:tcBorders>
              <w:top w:val="nil"/>
              <w:left w:val="single" w:sz="8" w:space="0" w:color="auto"/>
              <w:bottom w:val="single" w:sz="4" w:space="0" w:color="auto"/>
              <w:right w:val="single" w:sz="8" w:space="0" w:color="auto"/>
            </w:tcBorders>
            <w:shd w:val="clear" w:color="auto" w:fill="FDE9D9" w:themeFill="accent6" w:themeFillTint="33"/>
            <w:noWrap/>
            <w:vAlign w:val="center"/>
            <w:hideMark/>
          </w:tcPr>
          <w:p w14:paraId="1F147FF8" w14:textId="77777777" w:rsidR="007E704E" w:rsidRPr="00990003" w:rsidRDefault="007E704E" w:rsidP="002A0835">
            <w:pPr>
              <w:jc w:val="right"/>
              <w:rPr>
                <w:rFonts w:cs="Arial"/>
                <w:color w:val="000000"/>
                <w:sz w:val="20"/>
                <w:szCs w:val="20"/>
                <w:lang w:eastAsia="en-US"/>
              </w:rPr>
            </w:pPr>
            <w:r w:rsidRPr="00990003">
              <w:rPr>
                <w:rFonts w:cs="Arial"/>
                <w:color w:val="000000"/>
                <w:sz w:val="20"/>
                <w:szCs w:val="20"/>
                <w:lang w:eastAsia="en-US"/>
              </w:rPr>
              <w:t>Total</w:t>
            </w:r>
          </w:p>
        </w:tc>
        <w:tc>
          <w:tcPr>
            <w:tcW w:w="1508" w:type="pct"/>
            <w:gridSpan w:val="2"/>
            <w:tcBorders>
              <w:top w:val="nil"/>
              <w:left w:val="nil"/>
              <w:bottom w:val="single" w:sz="4" w:space="0" w:color="auto"/>
              <w:right w:val="single" w:sz="8" w:space="0" w:color="auto"/>
            </w:tcBorders>
            <w:shd w:val="clear" w:color="auto" w:fill="FDE9D9" w:themeFill="accent6" w:themeFillTint="33"/>
            <w:vAlign w:val="center"/>
          </w:tcPr>
          <w:p w14:paraId="707E0F41" w14:textId="1706E9DE" w:rsidR="007E704E" w:rsidRPr="00990003" w:rsidRDefault="00D908EC" w:rsidP="002A0835">
            <w:pPr>
              <w:jc w:val="center"/>
              <w:rPr>
                <w:rFonts w:cs="Arial"/>
                <w:color w:val="000000"/>
                <w:sz w:val="20"/>
                <w:szCs w:val="20"/>
              </w:rPr>
            </w:pPr>
            <w:r>
              <w:rPr>
                <w:rFonts w:cs="Arial"/>
                <w:color w:val="000000"/>
                <w:sz w:val="20"/>
                <w:szCs w:val="20"/>
              </w:rPr>
              <w:t>274</w:t>
            </w:r>
          </w:p>
        </w:tc>
        <w:tc>
          <w:tcPr>
            <w:tcW w:w="1507" w:type="pct"/>
            <w:gridSpan w:val="2"/>
            <w:tcBorders>
              <w:top w:val="nil"/>
              <w:left w:val="nil"/>
              <w:bottom w:val="single" w:sz="4" w:space="0" w:color="auto"/>
              <w:right w:val="single" w:sz="8" w:space="0" w:color="auto"/>
            </w:tcBorders>
            <w:shd w:val="clear" w:color="auto" w:fill="FDE9D9" w:themeFill="accent6" w:themeFillTint="33"/>
            <w:vAlign w:val="center"/>
          </w:tcPr>
          <w:p w14:paraId="2F1C195D" w14:textId="5421260E" w:rsidR="007E704E" w:rsidRPr="00990003" w:rsidRDefault="00D908EC" w:rsidP="002A0835">
            <w:pPr>
              <w:jc w:val="center"/>
              <w:rPr>
                <w:rFonts w:cs="Arial"/>
                <w:color w:val="000000"/>
                <w:sz w:val="20"/>
                <w:szCs w:val="20"/>
                <w:lang w:eastAsia="en-US"/>
              </w:rPr>
            </w:pPr>
            <w:r>
              <w:rPr>
                <w:rFonts w:cs="Arial"/>
                <w:color w:val="000000"/>
                <w:sz w:val="20"/>
                <w:szCs w:val="20"/>
                <w:lang w:eastAsia="en-US"/>
              </w:rPr>
              <w:t>274</w:t>
            </w:r>
          </w:p>
        </w:tc>
      </w:tr>
      <w:tr w:rsidR="00D908EC" w:rsidRPr="00D908EC" w14:paraId="59BF79E4" w14:textId="77777777" w:rsidTr="00D908EC">
        <w:trPr>
          <w:trHeight w:val="340"/>
        </w:trPr>
        <w:tc>
          <w:tcPr>
            <w:tcW w:w="5000" w:type="pct"/>
            <w:gridSpan w:val="5"/>
            <w:tcBorders>
              <w:top w:val="single" w:sz="4" w:space="0" w:color="auto"/>
              <w:left w:val="single" w:sz="8" w:space="0" w:color="auto"/>
              <w:bottom w:val="single" w:sz="4" w:space="0" w:color="auto"/>
              <w:right w:val="single" w:sz="8" w:space="0" w:color="auto"/>
            </w:tcBorders>
            <w:shd w:val="clear" w:color="auto" w:fill="FDE9D9" w:themeFill="accent6" w:themeFillTint="33"/>
            <w:noWrap/>
            <w:vAlign w:val="center"/>
          </w:tcPr>
          <w:p w14:paraId="4DF5620D" w14:textId="7CB67B2A" w:rsidR="00D908EC" w:rsidRPr="00D908EC" w:rsidRDefault="00D908EC" w:rsidP="00D908EC">
            <w:pPr>
              <w:jc w:val="left"/>
              <w:rPr>
                <w:rFonts w:cs="Arial"/>
                <w:color w:val="000000"/>
                <w:sz w:val="18"/>
                <w:szCs w:val="18"/>
                <w:lang w:eastAsia="en-US"/>
              </w:rPr>
            </w:pPr>
            <w:r w:rsidRPr="00D908EC">
              <w:rPr>
                <w:rFonts w:cs="Arial"/>
                <w:bCs/>
                <w:sz w:val="18"/>
                <w:szCs w:val="18"/>
              </w:rPr>
              <w:t>*</w:t>
            </w:r>
            <w:r w:rsidRPr="00D908EC">
              <w:rPr>
                <w:rFonts w:cs="Arial"/>
                <w:color w:val="000000"/>
                <w:sz w:val="18"/>
                <w:szCs w:val="18"/>
                <w:lang w:eastAsia="en-US"/>
              </w:rPr>
              <w:t xml:space="preserve">Anonymous or unknown includes </w:t>
            </w:r>
            <w:r w:rsidR="00373491">
              <w:rPr>
                <w:rFonts w:cs="Arial"/>
                <w:color w:val="000000"/>
                <w:sz w:val="18"/>
                <w:szCs w:val="18"/>
                <w:lang w:eastAsia="en-US"/>
              </w:rPr>
              <w:t>10</w:t>
            </w:r>
            <w:r>
              <w:rPr>
                <w:rFonts w:cs="Arial"/>
                <w:color w:val="000000"/>
                <w:sz w:val="18"/>
                <w:szCs w:val="18"/>
                <w:lang w:eastAsia="en-US"/>
              </w:rPr>
              <w:t xml:space="preserve"> Groups in the Responding Party category; exact number of individuals unknown. </w:t>
            </w:r>
          </w:p>
        </w:tc>
      </w:tr>
    </w:tbl>
    <w:p w14:paraId="6291DFAA" w14:textId="77777777" w:rsidR="00562D3C" w:rsidRPr="00D908EC" w:rsidRDefault="00562D3C" w:rsidP="00D908EC">
      <w:pPr>
        <w:jc w:val="left"/>
        <w:rPr>
          <w:rFonts w:eastAsiaTheme="majorEastAsia" w:cstheme="majorBidi"/>
          <w:b/>
          <w:bCs/>
          <w:color w:val="68246D"/>
          <w:kern w:val="32"/>
          <w:sz w:val="18"/>
          <w:szCs w:val="18"/>
        </w:rPr>
      </w:pPr>
    </w:p>
    <w:p w14:paraId="4316F53D" w14:textId="63BBE20D" w:rsidR="00D702A8" w:rsidRDefault="007E704E" w:rsidP="006720A7">
      <w:pPr>
        <w:pStyle w:val="TextunderNumbered"/>
        <w:numPr>
          <w:ilvl w:val="1"/>
          <w:numId w:val="17"/>
        </w:numPr>
        <w:shd w:val="clear" w:color="auto" w:fill="auto"/>
        <w:ind w:left="540" w:hanging="824"/>
      </w:pPr>
      <w:r w:rsidRPr="00E96C61">
        <w:rPr>
          <w:b/>
          <w:bCs/>
        </w:rPr>
        <w:t xml:space="preserve">Additional demographics </w:t>
      </w:r>
      <w:r w:rsidR="00D90A98" w:rsidRPr="00E96C61">
        <w:rPr>
          <w:b/>
          <w:bCs/>
        </w:rPr>
        <w:t>about the Reporting Party</w:t>
      </w:r>
      <w:r w:rsidR="00D90A98">
        <w:t xml:space="preserve"> are currently re</w:t>
      </w:r>
      <w:r w:rsidR="008F023E">
        <w:t xml:space="preserve">corded </w:t>
      </w:r>
      <w:r w:rsidRPr="00990003">
        <w:t xml:space="preserve">for anonymous reports </w:t>
      </w:r>
      <w:r w:rsidR="00D25594" w:rsidRPr="00990003">
        <w:t>and formal reports</w:t>
      </w:r>
      <w:r w:rsidR="008F023E">
        <w:t xml:space="preserve"> only.</w:t>
      </w:r>
      <w:r w:rsidR="0049501F" w:rsidRPr="00990003">
        <w:t xml:space="preserve"> </w:t>
      </w:r>
      <w:r w:rsidRPr="00990003">
        <w:t xml:space="preserve">The following information displayed in </w:t>
      </w:r>
      <w:r w:rsidRPr="00990003">
        <w:rPr>
          <w:b/>
          <w:bCs/>
        </w:rPr>
        <w:t>Figures 2</w:t>
      </w:r>
      <w:r w:rsidRPr="00990003">
        <w:t xml:space="preserve"> to </w:t>
      </w:r>
      <w:r w:rsidR="0049501F" w:rsidRPr="00990003">
        <w:rPr>
          <w:b/>
          <w:bCs/>
        </w:rPr>
        <w:t>6</w:t>
      </w:r>
      <w:r w:rsidRPr="00990003">
        <w:t xml:space="preserve"> refers to the </w:t>
      </w:r>
      <w:r w:rsidR="008F023E">
        <w:t xml:space="preserve">gender, sexual identity, race/ethnicity, disability status, and faith/belief of the Reporting Parties identified. </w:t>
      </w:r>
      <w:r w:rsidR="009160D9">
        <w:t xml:space="preserve">For race/ethnicity and faith/belief, only those recorded are shown in the below charts (e.g., Jewish is not listed as no one identified as Jewish). </w:t>
      </w:r>
    </w:p>
    <w:p w14:paraId="15C96782" w14:textId="60B7EA23" w:rsidR="00D16698" w:rsidRDefault="008F023E" w:rsidP="006720A7">
      <w:pPr>
        <w:pStyle w:val="TextunderNumbered"/>
        <w:numPr>
          <w:ilvl w:val="1"/>
          <w:numId w:val="17"/>
        </w:numPr>
        <w:shd w:val="clear" w:color="auto" w:fill="auto"/>
        <w:ind w:left="540" w:hanging="824"/>
      </w:pPr>
      <w:r>
        <w:t xml:space="preserve">Please note the demographic questions are optional and not available for disclosures. </w:t>
      </w:r>
      <w:r w:rsidR="00D702A8">
        <w:t xml:space="preserve">Therefore, in the below data for many questions ‘Not Disclosed’ is the highest percentage of the known data. Where the information was disclosed, 75% of Reporting Parties identified as women, 19% identified as heterosexual, 26% identified as White British, 29% reported they did not have a disability, and 13% reported having no religion, which were the next highest percentage after not disclosed. </w:t>
      </w:r>
    </w:p>
    <w:p w14:paraId="0ACA6636" w14:textId="72FDD6CE" w:rsidR="00FA7CCB" w:rsidRDefault="00FA7CCB" w:rsidP="007904F8">
      <w:pPr>
        <w:pStyle w:val="TextunderNumbered"/>
        <w:numPr>
          <w:ilvl w:val="0"/>
          <w:numId w:val="0"/>
        </w:numPr>
        <w:shd w:val="clear" w:color="auto" w:fill="auto"/>
      </w:pPr>
      <w:r>
        <w:rPr>
          <w:noProof/>
        </w:rPr>
        <w:drawing>
          <wp:inline distT="0" distB="0" distL="0" distR="0" wp14:anchorId="0F2688F6" wp14:editId="60F79617">
            <wp:extent cx="6142990" cy="2880000"/>
            <wp:effectExtent l="0" t="0" r="10160" b="15875"/>
            <wp:docPr id="17" name="Chart 17">
              <a:extLst xmlns:a="http://schemas.openxmlformats.org/drawingml/2006/main">
                <a:ext uri="{FF2B5EF4-FFF2-40B4-BE49-F238E27FC236}">
                  <a16:creationId xmlns:a16="http://schemas.microsoft.com/office/drawing/2014/main" id="{EDAC97D9-582B-2AD6-96AD-53F26EC1A5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AAC0C2" w14:textId="725BB6EC" w:rsidR="00371ACC" w:rsidRPr="00990003" w:rsidRDefault="00371ACC" w:rsidP="007904F8">
      <w:pPr>
        <w:pStyle w:val="TextunderNumbered"/>
        <w:numPr>
          <w:ilvl w:val="0"/>
          <w:numId w:val="0"/>
        </w:numPr>
        <w:shd w:val="clear" w:color="auto" w:fill="auto"/>
      </w:pPr>
      <w:r>
        <w:rPr>
          <w:noProof/>
        </w:rPr>
        <w:lastRenderedPageBreak/>
        <w:drawing>
          <wp:inline distT="0" distB="0" distL="0" distR="0" wp14:anchorId="43857232" wp14:editId="5B442977">
            <wp:extent cx="6142990" cy="2880000"/>
            <wp:effectExtent l="0" t="0" r="10160" b="15875"/>
            <wp:docPr id="19" name="Chart 19">
              <a:extLst xmlns:a="http://schemas.openxmlformats.org/drawingml/2006/main">
                <a:ext uri="{FF2B5EF4-FFF2-40B4-BE49-F238E27FC236}">
                  <a16:creationId xmlns:a16="http://schemas.microsoft.com/office/drawing/2014/main" id="{70414F24-1F1A-F7BA-ADD5-4BE4C86CD8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8FA2DF" w14:textId="234350EF" w:rsidR="005A0CFF" w:rsidRPr="00990003" w:rsidRDefault="005E5EC6" w:rsidP="007904F8">
      <w:pPr>
        <w:pStyle w:val="TextunderNumbered"/>
        <w:numPr>
          <w:ilvl w:val="0"/>
          <w:numId w:val="0"/>
        </w:numPr>
        <w:shd w:val="clear" w:color="auto" w:fill="auto"/>
        <w:spacing w:after="20"/>
      </w:pPr>
      <w:r>
        <w:rPr>
          <w:noProof/>
        </w:rPr>
        <w:drawing>
          <wp:inline distT="0" distB="0" distL="0" distR="0" wp14:anchorId="6884AC46" wp14:editId="32783AD4">
            <wp:extent cx="6141720" cy="4320000"/>
            <wp:effectExtent l="0" t="0" r="11430" b="4445"/>
            <wp:docPr id="18" name="Chart 18">
              <a:extLst xmlns:a="http://schemas.openxmlformats.org/drawingml/2006/main">
                <a:ext uri="{FF2B5EF4-FFF2-40B4-BE49-F238E27FC236}">
                  <a16:creationId xmlns:a16="http://schemas.microsoft.com/office/drawing/2014/main" id="{2182851B-5DD2-8F9D-61FC-47CE298AA8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2D3E16" w14:textId="10A283FC" w:rsidR="00D25594" w:rsidRPr="00990003" w:rsidRDefault="00371ACC" w:rsidP="00D25594">
      <w:pPr>
        <w:pStyle w:val="TextunderNumbered"/>
        <w:numPr>
          <w:ilvl w:val="0"/>
          <w:numId w:val="0"/>
        </w:numPr>
        <w:shd w:val="clear" w:color="auto" w:fill="auto"/>
        <w:rPr>
          <w:b/>
          <w:bCs/>
        </w:rPr>
      </w:pPr>
      <w:r>
        <w:rPr>
          <w:noProof/>
        </w:rPr>
        <w:lastRenderedPageBreak/>
        <w:drawing>
          <wp:inline distT="0" distB="0" distL="0" distR="0" wp14:anchorId="45AE1D15" wp14:editId="1538C96F">
            <wp:extent cx="6141720" cy="2880000"/>
            <wp:effectExtent l="0" t="0" r="11430" b="15875"/>
            <wp:docPr id="21" name="Chart 21">
              <a:extLst xmlns:a="http://schemas.openxmlformats.org/drawingml/2006/main">
                <a:ext uri="{FF2B5EF4-FFF2-40B4-BE49-F238E27FC236}">
                  <a16:creationId xmlns:a16="http://schemas.microsoft.com/office/drawing/2014/main" id="{49EAEB54-7B5C-56C3-A932-890544013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AB85CA" w14:textId="629CF770" w:rsidR="00D25594" w:rsidRPr="00990003" w:rsidRDefault="00D00B2A" w:rsidP="007904F8">
      <w:pPr>
        <w:pStyle w:val="TextunderNumbered"/>
        <w:numPr>
          <w:ilvl w:val="0"/>
          <w:numId w:val="0"/>
        </w:numPr>
        <w:shd w:val="clear" w:color="auto" w:fill="auto"/>
        <w:rPr>
          <w:b/>
          <w:bCs/>
        </w:rPr>
      </w:pPr>
      <w:r>
        <w:rPr>
          <w:noProof/>
        </w:rPr>
        <w:drawing>
          <wp:inline distT="0" distB="0" distL="0" distR="0" wp14:anchorId="3ACD676B" wp14:editId="35944C1D">
            <wp:extent cx="6152515" cy="2880000"/>
            <wp:effectExtent l="0" t="0" r="635" b="15875"/>
            <wp:docPr id="20" name="Chart 20">
              <a:extLst xmlns:a="http://schemas.openxmlformats.org/drawingml/2006/main">
                <a:ext uri="{FF2B5EF4-FFF2-40B4-BE49-F238E27FC236}">
                  <a16:creationId xmlns:a16="http://schemas.microsoft.com/office/drawing/2014/main" id="{7DED532F-0A1E-475E-5FD0-CAC96C3D2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7C45CA" w14:textId="7AE0CB62" w:rsidR="00A82D9D" w:rsidRPr="00D702A8" w:rsidRDefault="007E704E" w:rsidP="00244C00">
      <w:pPr>
        <w:pStyle w:val="TextunderNumbered"/>
        <w:numPr>
          <w:ilvl w:val="1"/>
          <w:numId w:val="17"/>
        </w:numPr>
        <w:shd w:val="clear" w:color="auto" w:fill="auto"/>
        <w:ind w:left="540" w:hanging="824"/>
      </w:pPr>
      <w:r w:rsidRPr="00D702A8">
        <w:rPr>
          <w:b/>
        </w:rPr>
        <w:t>Type of Misconduct</w:t>
      </w:r>
      <w:r w:rsidR="00B86CAE" w:rsidRPr="00D702A8">
        <w:rPr>
          <w:b/>
        </w:rPr>
        <w:t xml:space="preserve"> and Number of Incidents</w:t>
      </w:r>
      <w:r w:rsidRPr="00D702A8">
        <w:rPr>
          <w:b/>
        </w:rPr>
        <w:t>:</w:t>
      </w:r>
      <w:r w:rsidRPr="00D702A8">
        <w:t xml:space="preserve"> ‘Sexual misconduct and violence’ is an umbrella term covering a broad range of non-consensual conduct of a sexual nature</w:t>
      </w:r>
      <w:r w:rsidR="005B7033" w:rsidRPr="00D702A8">
        <w:t xml:space="preserve"> and forms of gender-based violence impacting the University community</w:t>
      </w:r>
      <w:r w:rsidRPr="00D702A8">
        <w:t xml:space="preserve">. Since 2014/15, the incidents disclosed have most often been behaviours which might also constitute a criminal offence. </w:t>
      </w:r>
      <w:r w:rsidR="00B86CAE" w:rsidRPr="00D702A8">
        <w:t>Disclosures often include information on multiple incidents</w:t>
      </w:r>
      <w:r w:rsidRPr="00D702A8">
        <w:t xml:space="preserve"> </w:t>
      </w:r>
      <w:r w:rsidR="00B86CAE" w:rsidRPr="00D702A8">
        <w:t xml:space="preserve">including </w:t>
      </w:r>
      <w:r w:rsidRPr="00D702A8">
        <w:t>more than one type of SMV (e.g., sexual assault and stalking)</w:t>
      </w:r>
      <w:r w:rsidR="00B86CAE" w:rsidRPr="00D702A8">
        <w:t xml:space="preserve">. During the </w:t>
      </w:r>
      <w:r w:rsidR="00D16698" w:rsidRPr="00D702A8">
        <w:t>2022/23</w:t>
      </w:r>
      <w:r w:rsidR="00B86CAE" w:rsidRPr="00D702A8">
        <w:t xml:space="preserve"> academic year, </w:t>
      </w:r>
      <w:r w:rsidR="00A82D9D" w:rsidRPr="00E96C61">
        <w:rPr>
          <w:b/>
        </w:rPr>
        <w:t>361</w:t>
      </w:r>
      <w:r w:rsidR="00B86CAE" w:rsidRPr="00E96C61">
        <w:rPr>
          <w:b/>
        </w:rPr>
        <w:t xml:space="preserve"> incidents of SMV were recorded from the </w:t>
      </w:r>
      <w:r w:rsidR="00A82D9D" w:rsidRPr="00E96C61">
        <w:rPr>
          <w:b/>
        </w:rPr>
        <w:t xml:space="preserve">274 </w:t>
      </w:r>
      <w:r w:rsidRPr="00E96C61">
        <w:rPr>
          <w:b/>
        </w:rPr>
        <w:t>disclosures made to the University</w:t>
      </w:r>
      <w:r w:rsidRPr="00D702A8">
        <w:t xml:space="preserve">. Since the University started </w:t>
      </w:r>
      <w:r w:rsidR="00F55CFF" w:rsidRPr="00D702A8">
        <w:t xml:space="preserve">centrally </w:t>
      </w:r>
      <w:r w:rsidRPr="00D702A8">
        <w:t xml:space="preserve">recording </w:t>
      </w:r>
      <w:r w:rsidR="00B86CAE" w:rsidRPr="00D702A8">
        <w:t>SMV disclosures</w:t>
      </w:r>
      <w:r w:rsidRPr="00D702A8">
        <w:t xml:space="preserve"> during the 2014/15 academic year, there have</w:t>
      </w:r>
      <w:r w:rsidR="00B86CAE" w:rsidRPr="00D702A8">
        <w:t xml:space="preserve"> been</w:t>
      </w:r>
      <w:r w:rsidRPr="00D702A8">
        <w:t xml:space="preserve"> </w:t>
      </w:r>
      <w:r w:rsidR="00A82D9D" w:rsidRPr="00D702A8">
        <w:rPr>
          <w:bCs/>
        </w:rPr>
        <w:t>956</w:t>
      </w:r>
      <w:r w:rsidR="00F55CFF" w:rsidRPr="00D702A8">
        <w:t xml:space="preserve"> disclosures which included </w:t>
      </w:r>
      <w:r w:rsidR="006032FA" w:rsidRPr="00D702A8">
        <w:rPr>
          <w:bCs/>
        </w:rPr>
        <w:t>1</w:t>
      </w:r>
      <w:r w:rsidR="00E96C61">
        <w:rPr>
          <w:bCs/>
        </w:rPr>
        <w:t>,</w:t>
      </w:r>
      <w:r w:rsidR="00A82D9D" w:rsidRPr="00D702A8">
        <w:rPr>
          <w:bCs/>
        </w:rPr>
        <w:t>219</w:t>
      </w:r>
      <w:r w:rsidR="005B7033" w:rsidRPr="00D702A8">
        <w:rPr>
          <w:bCs/>
        </w:rPr>
        <w:t xml:space="preserve"> </w:t>
      </w:r>
      <w:r w:rsidRPr="00D702A8">
        <w:t>incidents</w:t>
      </w:r>
      <w:r w:rsidR="00B86CAE" w:rsidRPr="00D702A8">
        <w:t xml:space="preserve"> of SMV</w:t>
      </w:r>
      <w:r w:rsidRPr="00D702A8">
        <w:t>.</w:t>
      </w:r>
      <w:r w:rsidR="000571EA" w:rsidRPr="00D702A8">
        <w:t xml:space="preserve"> </w:t>
      </w:r>
      <w:r w:rsidR="00B86CAE" w:rsidRPr="00D702A8">
        <w:rPr>
          <w:b/>
          <w:bCs/>
        </w:rPr>
        <w:t>Figure 7</w:t>
      </w:r>
      <w:r w:rsidR="00B86CAE" w:rsidRPr="00D702A8">
        <w:t xml:space="preserve"> and </w:t>
      </w:r>
      <w:r w:rsidR="00B86CAE" w:rsidRPr="00D702A8">
        <w:rPr>
          <w:b/>
          <w:bCs/>
        </w:rPr>
        <w:t>Table 3</w:t>
      </w:r>
      <w:r w:rsidR="00B86CAE" w:rsidRPr="00D702A8">
        <w:t xml:space="preserve"> show the types of SMV disclosed to the University.</w:t>
      </w:r>
      <w:r w:rsidR="006032FA" w:rsidRPr="00D702A8">
        <w:t xml:space="preserve"> </w:t>
      </w:r>
      <w:r w:rsidR="002E5DE1">
        <w:t>Table 3 also shows the numerical difference in types of SMV disclosed compared to the 2021/22 academic year.</w:t>
      </w:r>
    </w:p>
    <w:p w14:paraId="269074EA" w14:textId="56325471" w:rsidR="004C60B0" w:rsidRPr="00990003" w:rsidRDefault="006032FA" w:rsidP="00244C00">
      <w:pPr>
        <w:pStyle w:val="TextunderNumbered"/>
        <w:numPr>
          <w:ilvl w:val="1"/>
          <w:numId w:val="17"/>
        </w:numPr>
        <w:shd w:val="clear" w:color="auto" w:fill="auto"/>
        <w:ind w:left="540" w:hanging="824"/>
      </w:pPr>
      <w:r>
        <w:t>It is important to note that we record disclosures of incidents that have occurred whilst the individual is a current student or employee at the University; however, the incident itself may be unrelated to the University</w:t>
      </w:r>
      <w:r w:rsidR="004D28E2">
        <w:t xml:space="preserve"> if the perpetrator is n</w:t>
      </w:r>
      <w:r w:rsidR="00A82D9D">
        <w:t>ot affiliated to the University.</w:t>
      </w:r>
      <w:r w:rsidR="001615CF">
        <w:t xml:space="preserve"> Where the identity of the Responding Party has been shared with the University, 31 or 11% were not affiliated to the University.</w:t>
      </w:r>
      <w:r w:rsidR="00A82D9D">
        <w:t xml:space="preserve"> We choose to record these incidents too to understand how SMV is impacting our students and employees </w:t>
      </w:r>
      <w:r w:rsidR="00E96C61">
        <w:t>which can help direct what</w:t>
      </w:r>
      <w:r w:rsidR="00A82D9D">
        <w:t xml:space="preserve"> support mechanisms the </w:t>
      </w:r>
      <w:r w:rsidR="00A82D9D">
        <w:lastRenderedPageBreak/>
        <w:t xml:space="preserve">University can provide as we provide support to victim-survivors regardless of the status of the Responding Party. </w:t>
      </w:r>
    </w:p>
    <w:p w14:paraId="348A8055" w14:textId="72D61FF4" w:rsidR="00592CA7" w:rsidRPr="00990003" w:rsidRDefault="006032FA" w:rsidP="007904F8">
      <w:pPr>
        <w:pStyle w:val="TextunderNumbered"/>
        <w:numPr>
          <w:ilvl w:val="0"/>
          <w:numId w:val="0"/>
        </w:numPr>
        <w:shd w:val="clear" w:color="auto" w:fill="auto"/>
      </w:pPr>
      <w:r>
        <w:rPr>
          <w:noProof/>
        </w:rPr>
        <w:drawing>
          <wp:inline distT="0" distB="0" distL="0" distR="0" wp14:anchorId="1B94CB3B" wp14:editId="5AD84322">
            <wp:extent cx="6142990" cy="4319905"/>
            <wp:effectExtent l="0" t="0" r="10160" b="4445"/>
            <wp:docPr id="11" name="Chart 11">
              <a:extLst xmlns:a="http://schemas.openxmlformats.org/drawingml/2006/main">
                <a:ext uri="{FF2B5EF4-FFF2-40B4-BE49-F238E27FC236}">
                  <a16:creationId xmlns:a16="http://schemas.microsoft.com/office/drawing/2014/main" id="{B7305228-0D2D-00EC-0E65-A810523D81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TableGrid"/>
        <w:tblW w:w="5000" w:type="pct"/>
        <w:tblLook w:val="04A0" w:firstRow="1" w:lastRow="0" w:firstColumn="1" w:lastColumn="0" w:noHBand="0" w:noVBand="1"/>
      </w:tblPr>
      <w:tblGrid>
        <w:gridCol w:w="8564"/>
        <w:gridCol w:w="1065"/>
      </w:tblGrid>
      <w:tr w:rsidR="00F12833" w:rsidRPr="00990003" w14:paraId="5B8DC072" w14:textId="77777777" w:rsidTr="002A0835">
        <w:trPr>
          <w:trHeight w:val="397"/>
        </w:trPr>
        <w:tc>
          <w:tcPr>
            <w:tcW w:w="5000" w:type="pct"/>
            <w:gridSpan w:val="2"/>
            <w:shd w:val="clear" w:color="auto" w:fill="DBE5F1" w:themeFill="accent1" w:themeFillTint="33"/>
            <w:vAlign w:val="center"/>
          </w:tcPr>
          <w:p w14:paraId="351AADE3" w14:textId="7396A4F0" w:rsidR="00F12833" w:rsidRPr="00D702A8" w:rsidRDefault="00F12833" w:rsidP="00F12833">
            <w:pPr>
              <w:pStyle w:val="TextunderNumbered"/>
              <w:numPr>
                <w:ilvl w:val="0"/>
                <w:numId w:val="0"/>
              </w:numPr>
              <w:shd w:val="clear" w:color="auto" w:fill="auto"/>
              <w:spacing w:after="0"/>
              <w:ind w:right="-72"/>
              <w:jc w:val="left"/>
              <w:rPr>
                <w:rFonts w:cs="Arial"/>
                <w:b/>
                <w:bCs/>
                <w:sz w:val="20"/>
                <w:szCs w:val="20"/>
              </w:rPr>
            </w:pPr>
            <w:r w:rsidRPr="00D702A8">
              <w:rPr>
                <w:rFonts w:cs="Arial"/>
                <w:b/>
                <w:bCs/>
                <w:sz w:val="20"/>
                <w:szCs w:val="20"/>
              </w:rPr>
              <w:t xml:space="preserve">Table 3. Type of SMV disclosed or anonymously reported to the University as defined* under the SMV Policy </w:t>
            </w:r>
            <w:r w:rsidRPr="00D702A8">
              <w:rPr>
                <w:rFonts w:cs="Arial"/>
                <w:b/>
                <w:bCs/>
                <w:color w:val="000000"/>
                <w:sz w:val="20"/>
                <w:szCs w:val="20"/>
                <w:lang w:eastAsia="en-US"/>
              </w:rPr>
              <w:t xml:space="preserve">during the </w:t>
            </w:r>
            <w:r w:rsidR="00D16698" w:rsidRPr="00D702A8">
              <w:rPr>
                <w:rFonts w:cs="Arial"/>
                <w:b/>
                <w:bCs/>
                <w:color w:val="000000"/>
                <w:sz w:val="20"/>
                <w:szCs w:val="20"/>
                <w:lang w:eastAsia="en-US"/>
              </w:rPr>
              <w:t>2022/23</w:t>
            </w:r>
            <w:r w:rsidRPr="00D702A8">
              <w:rPr>
                <w:rFonts w:cs="Arial"/>
                <w:b/>
                <w:bCs/>
                <w:color w:val="000000"/>
                <w:sz w:val="20"/>
                <w:szCs w:val="20"/>
                <w:lang w:eastAsia="en-US"/>
              </w:rPr>
              <w:t xml:space="preserve"> Academic Year</w:t>
            </w:r>
            <w:r w:rsidRPr="00D702A8">
              <w:rPr>
                <w:rFonts w:cs="Arial"/>
                <w:bCs/>
                <w:sz w:val="18"/>
                <w:szCs w:val="18"/>
                <w:vertAlign w:val="superscript"/>
              </w:rPr>
              <w:t>†</w:t>
            </w:r>
            <w:r w:rsidR="003E78F3">
              <w:rPr>
                <w:rFonts w:cs="Arial"/>
                <w:b/>
                <w:bCs/>
                <w:color w:val="000000"/>
                <w:sz w:val="20"/>
                <w:szCs w:val="20"/>
                <w:lang w:eastAsia="en-US"/>
              </w:rPr>
              <w:t xml:space="preserve"> compared to the previous year (+/-/~)</w:t>
            </w:r>
          </w:p>
        </w:tc>
      </w:tr>
      <w:tr w:rsidR="00F12833" w:rsidRPr="00990003" w14:paraId="26CEF8DD" w14:textId="77777777" w:rsidTr="005B7033">
        <w:trPr>
          <w:trHeight w:val="397"/>
        </w:trPr>
        <w:tc>
          <w:tcPr>
            <w:tcW w:w="4447" w:type="pct"/>
            <w:shd w:val="clear" w:color="auto" w:fill="DBE5F1" w:themeFill="accent1" w:themeFillTint="33"/>
            <w:vAlign w:val="center"/>
            <w:hideMark/>
          </w:tcPr>
          <w:p w14:paraId="681CAD3A" w14:textId="77777777" w:rsidR="00F12833" w:rsidRPr="00D702A8" w:rsidRDefault="00F12833" w:rsidP="00F12833">
            <w:pPr>
              <w:pStyle w:val="TextunderNumbered"/>
              <w:numPr>
                <w:ilvl w:val="0"/>
                <w:numId w:val="0"/>
              </w:numPr>
              <w:shd w:val="clear" w:color="auto" w:fill="auto"/>
              <w:spacing w:after="0"/>
              <w:jc w:val="left"/>
              <w:rPr>
                <w:rFonts w:cs="Arial"/>
                <w:b/>
                <w:bCs/>
                <w:sz w:val="20"/>
                <w:szCs w:val="20"/>
              </w:rPr>
            </w:pPr>
            <w:r w:rsidRPr="00D702A8">
              <w:rPr>
                <w:rFonts w:cs="Arial"/>
                <w:b/>
                <w:bCs/>
                <w:sz w:val="20"/>
                <w:szCs w:val="20"/>
              </w:rPr>
              <w:t>SMV Category / Description</w:t>
            </w:r>
          </w:p>
        </w:tc>
        <w:tc>
          <w:tcPr>
            <w:tcW w:w="553" w:type="pct"/>
            <w:shd w:val="clear" w:color="auto" w:fill="DBE5F1" w:themeFill="accent1" w:themeFillTint="33"/>
            <w:noWrap/>
            <w:vAlign w:val="center"/>
            <w:hideMark/>
          </w:tcPr>
          <w:p w14:paraId="2F2E85C7" w14:textId="77777777" w:rsidR="00F12833" w:rsidRPr="00D702A8" w:rsidRDefault="00F12833" w:rsidP="00F12833">
            <w:pPr>
              <w:pStyle w:val="TextunderNumbered"/>
              <w:numPr>
                <w:ilvl w:val="0"/>
                <w:numId w:val="0"/>
              </w:numPr>
              <w:shd w:val="clear" w:color="auto" w:fill="auto"/>
              <w:spacing w:after="0"/>
              <w:ind w:right="-72"/>
              <w:jc w:val="center"/>
              <w:rPr>
                <w:rFonts w:cs="Arial"/>
                <w:b/>
                <w:bCs/>
                <w:sz w:val="20"/>
                <w:szCs w:val="20"/>
              </w:rPr>
            </w:pPr>
            <w:r w:rsidRPr="00D702A8">
              <w:rPr>
                <w:rFonts w:cs="Arial"/>
                <w:b/>
                <w:bCs/>
                <w:sz w:val="20"/>
                <w:szCs w:val="20"/>
              </w:rPr>
              <w:t>TOTAL</w:t>
            </w:r>
          </w:p>
        </w:tc>
      </w:tr>
      <w:tr w:rsidR="00F12833" w:rsidRPr="00990003" w14:paraId="0299B16D" w14:textId="77777777" w:rsidTr="005B7033">
        <w:trPr>
          <w:trHeight w:val="397"/>
        </w:trPr>
        <w:tc>
          <w:tcPr>
            <w:tcW w:w="4447" w:type="pct"/>
            <w:vAlign w:val="center"/>
            <w:hideMark/>
          </w:tcPr>
          <w:p w14:paraId="6D2DFA64" w14:textId="274BC3B4" w:rsidR="00F12833" w:rsidRPr="00990003" w:rsidRDefault="00F12833" w:rsidP="00F12833">
            <w:pPr>
              <w:pStyle w:val="TextunderNumbered"/>
              <w:numPr>
                <w:ilvl w:val="0"/>
                <w:numId w:val="0"/>
              </w:numPr>
              <w:shd w:val="clear" w:color="auto" w:fill="auto"/>
              <w:spacing w:after="0"/>
              <w:ind w:left="31"/>
              <w:jc w:val="right"/>
              <w:rPr>
                <w:rFonts w:cs="Arial"/>
                <w:sz w:val="20"/>
                <w:szCs w:val="18"/>
              </w:rPr>
            </w:pPr>
            <w:r w:rsidRPr="00990003">
              <w:rPr>
                <w:rFonts w:cs="Arial"/>
                <w:b/>
                <w:sz w:val="20"/>
                <w:szCs w:val="18"/>
              </w:rPr>
              <w:t>Rape</w:t>
            </w:r>
            <w:r w:rsidR="008B066F" w:rsidRPr="00990003">
              <w:rPr>
                <w:rFonts w:cs="Arial"/>
                <w:b/>
                <w:sz w:val="20"/>
                <w:szCs w:val="18"/>
              </w:rPr>
              <w:t xml:space="preserve"> </w:t>
            </w:r>
            <w:r w:rsidRPr="00990003">
              <w:rPr>
                <w:rFonts w:cs="Arial"/>
                <w:b/>
                <w:sz w:val="20"/>
                <w:szCs w:val="18"/>
              </w:rPr>
              <w:t>/</w:t>
            </w:r>
            <w:r w:rsidR="008B066F" w:rsidRPr="00990003">
              <w:rPr>
                <w:rFonts w:cs="Arial"/>
                <w:b/>
                <w:sz w:val="20"/>
                <w:szCs w:val="18"/>
              </w:rPr>
              <w:t xml:space="preserve"> </w:t>
            </w:r>
            <w:r w:rsidRPr="00990003">
              <w:rPr>
                <w:rFonts w:cs="Arial"/>
                <w:b/>
                <w:sz w:val="20"/>
                <w:szCs w:val="18"/>
              </w:rPr>
              <w:t>Assault by Penetration /</w:t>
            </w:r>
            <w:r w:rsidR="005B7033" w:rsidRPr="00990003">
              <w:rPr>
                <w:rFonts w:cs="Arial"/>
                <w:b/>
                <w:sz w:val="20"/>
                <w:szCs w:val="18"/>
              </w:rPr>
              <w:t xml:space="preserve"> (Attempts)</w:t>
            </w:r>
            <w:r w:rsidR="008B066F" w:rsidRPr="00990003">
              <w:rPr>
                <w:rFonts w:cs="Arial"/>
                <w:sz w:val="20"/>
                <w:szCs w:val="18"/>
              </w:rPr>
              <w:t xml:space="preserve"> /</w:t>
            </w:r>
            <w:r w:rsidRPr="00990003">
              <w:rPr>
                <w:rFonts w:cs="Arial"/>
                <w:sz w:val="20"/>
                <w:szCs w:val="18"/>
              </w:rPr>
              <w:t xml:space="preserve"> </w:t>
            </w:r>
          </w:p>
          <w:p w14:paraId="17EBD2CE" w14:textId="77777777" w:rsidR="00F12833" w:rsidRPr="00990003" w:rsidRDefault="00F12833" w:rsidP="00F12833">
            <w:pPr>
              <w:pStyle w:val="TextunderNumbered"/>
              <w:numPr>
                <w:ilvl w:val="0"/>
                <w:numId w:val="0"/>
              </w:numPr>
              <w:shd w:val="clear" w:color="auto" w:fill="auto"/>
              <w:spacing w:after="0"/>
              <w:ind w:left="31"/>
              <w:jc w:val="right"/>
              <w:rPr>
                <w:rFonts w:cs="Arial"/>
                <w:sz w:val="18"/>
                <w:szCs w:val="18"/>
              </w:rPr>
            </w:pPr>
            <w:r w:rsidRPr="00990003">
              <w:rPr>
                <w:rFonts w:cs="Arial"/>
                <w:i/>
                <w:sz w:val="18"/>
                <w:szCs w:val="18"/>
              </w:rPr>
              <w:t>Engaging, or attempting to engage in a sexual act with another individual without consent</w:t>
            </w:r>
            <w:r w:rsidRPr="00990003">
              <w:rPr>
                <w:rFonts w:cs="Arial"/>
                <w:sz w:val="18"/>
                <w:szCs w:val="18"/>
              </w:rPr>
              <w:t xml:space="preserve"> </w:t>
            </w:r>
          </w:p>
        </w:tc>
        <w:tc>
          <w:tcPr>
            <w:tcW w:w="553" w:type="pct"/>
            <w:shd w:val="clear" w:color="auto" w:fill="DBE5F1" w:themeFill="accent1" w:themeFillTint="33"/>
            <w:noWrap/>
            <w:vAlign w:val="center"/>
          </w:tcPr>
          <w:p w14:paraId="4D02E1B5" w14:textId="50013FE4" w:rsidR="00F12833" w:rsidRPr="00990003" w:rsidRDefault="006032FA" w:rsidP="00870BC5">
            <w:pPr>
              <w:pStyle w:val="TextunderNumbered"/>
              <w:numPr>
                <w:ilvl w:val="0"/>
                <w:numId w:val="0"/>
              </w:numPr>
              <w:shd w:val="clear" w:color="auto" w:fill="auto"/>
              <w:spacing w:after="0"/>
              <w:ind w:left="25"/>
              <w:jc w:val="left"/>
              <w:rPr>
                <w:rFonts w:cs="Arial"/>
                <w:b/>
                <w:bCs/>
                <w:sz w:val="20"/>
                <w:szCs w:val="20"/>
              </w:rPr>
            </w:pPr>
            <w:r>
              <w:rPr>
                <w:rFonts w:cs="Arial"/>
                <w:b/>
                <w:bCs/>
                <w:sz w:val="20"/>
                <w:szCs w:val="20"/>
              </w:rPr>
              <w:t>72</w:t>
            </w:r>
            <w:r w:rsidR="00870BC5">
              <w:rPr>
                <w:rFonts w:cs="Arial"/>
                <w:b/>
                <w:bCs/>
                <w:sz w:val="20"/>
                <w:szCs w:val="20"/>
              </w:rPr>
              <w:t xml:space="preserve"> </w:t>
            </w:r>
            <w:r w:rsidR="00870BC5" w:rsidRPr="00870BC5">
              <w:rPr>
                <w:rFonts w:cs="Arial"/>
                <w:b/>
                <w:bCs/>
                <w:color w:val="FF0000"/>
                <w:sz w:val="16"/>
                <w:szCs w:val="16"/>
              </w:rPr>
              <w:t>(+12)</w:t>
            </w:r>
          </w:p>
        </w:tc>
      </w:tr>
      <w:tr w:rsidR="00F12833" w:rsidRPr="00990003" w14:paraId="3161F4A1" w14:textId="77777777" w:rsidTr="005B7033">
        <w:trPr>
          <w:trHeight w:val="397"/>
        </w:trPr>
        <w:tc>
          <w:tcPr>
            <w:tcW w:w="4447" w:type="pct"/>
            <w:vAlign w:val="center"/>
            <w:hideMark/>
          </w:tcPr>
          <w:p w14:paraId="5D385FD0" w14:textId="77777777" w:rsidR="00F12833" w:rsidRPr="00990003" w:rsidRDefault="00F12833" w:rsidP="00F12833">
            <w:pPr>
              <w:pStyle w:val="TextunderNumbered"/>
              <w:numPr>
                <w:ilvl w:val="0"/>
                <w:numId w:val="0"/>
              </w:numPr>
              <w:shd w:val="clear" w:color="auto" w:fill="auto"/>
              <w:spacing w:after="0"/>
              <w:ind w:left="31"/>
              <w:jc w:val="right"/>
              <w:rPr>
                <w:rFonts w:cs="Arial"/>
                <w:sz w:val="20"/>
                <w:szCs w:val="20"/>
              </w:rPr>
            </w:pPr>
            <w:r w:rsidRPr="00990003">
              <w:rPr>
                <w:rFonts w:cs="Arial"/>
                <w:b/>
                <w:sz w:val="20"/>
                <w:szCs w:val="20"/>
              </w:rPr>
              <w:t>Sexual Assault</w:t>
            </w:r>
            <w:r w:rsidRPr="00990003">
              <w:rPr>
                <w:rFonts w:cs="Arial"/>
                <w:sz w:val="20"/>
                <w:szCs w:val="20"/>
              </w:rPr>
              <w:t xml:space="preserve"> / </w:t>
            </w:r>
          </w:p>
          <w:p w14:paraId="56C097C3" w14:textId="77777777" w:rsidR="00F12833" w:rsidRPr="00990003" w:rsidRDefault="00F12833" w:rsidP="00F12833">
            <w:pPr>
              <w:pStyle w:val="TextunderNumbered"/>
              <w:numPr>
                <w:ilvl w:val="0"/>
                <w:numId w:val="0"/>
              </w:numPr>
              <w:shd w:val="clear" w:color="auto" w:fill="auto"/>
              <w:spacing w:after="0"/>
              <w:ind w:left="31"/>
              <w:jc w:val="right"/>
              <w:rPr>
                <w:rFonts w:cs="Arial"/>
                <w:sz w:val="18"/>
                <w:szCs w:val="18"/>
              </w:rPr>
            </w:pPr>
            <w:r w:rsidRPr="00990003">
              <w:rPr>
                <w:rFonts w:cs="Arial"/>
                <w:i/>
                <w:sz w:val="18"/>
                <w:szCs w:val="18"/>
              </w:rPr>
              <w:t>Sexually touching another person without their consent</w:t>
            </w:r>
          </w:p>
        </w:tc>
        <w:tc>
          <w:tcPr>
            <w:tcW w:w="553" w:type="pct"/>
            <w:shd w:val="clear" w:color="auto" w:fill="DBE5F1" w:themeFill="accent1" w:themeFillTint="33"/>
            <w:noWrap/>
            <w:vAlign w:val="center"/>
          </w:tcPr>
          <w:p w14:paraId="358B0595" w14:textId="38224889" w:rsidR="00F12833" w:rsidRPr="00990003" w:rsidRDefault="006032FA" w:rsidP="00870BC5">
            <w:pPr>
              <w:pStyle w:val="TextunderNumbered"/>
              <w:numPr>
                <w:ilvl w:val="0"/>
                <w:numId w:val="0"/>
              </w:numPr>
              <w:shd w:val="clear" w:color="auto" w:fill="auto"/>
              <w:spacing w:after="0"/>
              <w:ind w:left="25"/>
              <w:jc w:val="left"/>
              <w:rPr>
                <w:rFonts w:cs="Arial"/>
                <w:b/>
                <w:bCs/>
                <w:sz w:val="20"/>
                <w:szCs w:val="20"/>
              </w:rPr>
            </w:pPr>
            <w:r>
              <w:rPr>
                <w:rFonts w:cs="Arial"/>
                <w:b/>
                <w:bCs/>
                <w:sz w:val="20"/>
                <w:szCs w:val="20"/>
              </w:rPr>
              <w:t>89</w:t>
            </w:r>
            <w:r w:rsidR="00870BC5">
              <w:rPr>
                <w:rFonts w:cs="Arial"/>
                <w:b/>
                <w:bCs/>
                <w:sz w:val="20"/>
                <w:szCs w:val="20"/>
              </w:rPr>
              <w:t xml:space="preserve"> </w:t>
            </w:r>
            <w:r w:rsidR="00870BC5" w:rsidRPr="00870BC5">
              <w:rPr>
                <w:rFonts w:cs="Arial"/>
                <w:b/>
                <w:bCs/>
                <w:color w:val="00B050"/>
                <w:sz w:val="16"/>
                <w:szCs w:val="16"/>
              </w:rPr>
              <w:t>(-11)</w:t>
            </w:r>
          </w:p>
        </w:tc>
      </w:tr>
      <w:tr w:rsidR="00F12833" w:rsidRPr="00990003" w14:paraId="6737263E" w14:textId="77777777" w:rsidTr="005B7033">
        <w:trPr>
          <w:trHeight w:val="397"/>
        </w:trPr>
        <w:tc>
          <w:tcPr>
            <w:tcW w:w="4447" w:type="pct"/>
            <w:vAlign w:val="center"/>
            <w:hideMark/>
          </w:tcPr>
          <w:p w14:paraId="15F2939E" w14:textId="639E63F7" w:rsidR="00F12833" w:rsidRPr="00990003" w:rsidRDefault="00F12833" w:rsidP="00F12833">
            <w:pPr>
              <w:pStyle w:val="TextunderNumbered"/>
              <w:numPr>
                <w:ilvl w:val="0"/>
                <w:numId w:val="0"/>
              </w:numPr>
              <w:shd w:val="clear" w:color="auto" w:fill="auto"/>
              <w:spacing w:after="0"/>
              <w:ind w:left="31"/>
              <w:jc w:val="right"/>
              <w:rPr>
                <w:rFonts w:cs="Arial"/>
                <w:sz w:val="20"/>
                <w:szCs w:val="20"/>
              </w:rPr>
            </w:pPr>
            <w:r w:rsidRPr="00990003">
              <w:rPr>
                <w:rFonts w:cs="Arial"/>
                <w:b/>
                <w:sz w:val="20"/>
                <w:szCs w:val="20"/>
              </w:rPr>
              <w:t>Sexual Harassment</w:t>
            </w:r>
            <w:r w:rsidRPr="00990003">
              <w:rPr>
                <w:rFonts w:cs="Arial"/>
                <w:sz w:val="20"/>
                <w:szCs w:val="20"/>
              </w:rPr>
              <w:t xml:space="preserve"> / </w:t>
            </w:r>
          </w:p>
          <w:p w14:paraId="1615C0AF" w14:textId="77777777" w:rsidR="00F12833" w:rsidRPr="00990003" w:rsidRDefault="00F12833" w:rsidP="00F12833">
            <w:pPr>
              <w:pStyle w:val="TextunderNumbered"/>
              <w:numPr>
                <w:ilvl w:val="0"/>
                <w:numId w:val="0"/>
              </w:numPr>
              <w:shd w:val="clear" w:color="auto" w:fill="auto"/>
              <w:spacing w:after="0"/>
              <w:ind w:left="31"/>
              <w:jc w:val="right"/>
              <w:rPr>
                <w:rFonts w:cs="Arial"/>
                <w:sz w:val="20"/>
                <w:szCs w:val="20"/>
              </w:rPr>
            </w:pPr>
            <w:r w:rsidRPr="00990003">
              <w:rPr>
                <w:rFonts w:cs="Arial"/>
                <w:i/>
                <w:sz w:val="18"/>
                <w:szCs w:val="19"/>
              </w:rPr>
              <w:t>Conduct of a sexual nature which creates (or could create) an intimidating, hostile, degrading, humiliating, or offensive environment for others including making unwanted remarks of a sexual nature</w:t>
            </w:r>
            <w:r w:rsidRPr="00990003">
              <w:rPr>
                <w:rFonts w:cs="Arial"/>
                <w:sz w:val="18"/>
                <w:szCs w:val="20"/>
              </w:rPr>
              <w:t xml:space="preserve"> </w:t>
            </w:r>
          </w:p>
        </w:tc>
        <w:tc>
          <w:tcPr>
            <w:tcW w:w="553" w:type="pct"/>
            <w:shd w:val="clear" w:color="auto" w:fill="DBE5F1" w:themeFill="accent1" w:themeFillTint="33"/>
            <w:noWrap/>
            <w:vAlign w:val="center"/>
          </w:tcPr>
          <w:p w14:paraId="5B8DBA76" w14:textId="52DC1637" w:rsidR="00F12833" w:rsidRPr="00990003" w:rsidRDefault="006032FA" w:rsidP="00870BC5">
            <w:pPr>
              <w:pStyle w:val="TextunderNumbered"/>
              <w:numPr>
                <w:ilvl w:val="0"/>
                <w:numId w:val="0"/>
              </w:numPr>
              <w:shd w:val="clear" w:color="auto" w:fill="auto"/>
              <w:spacing w:after="0"/>
              <w:ind w:left="25"/>
              <w:jc w:val="left"/>
              <w:rPr>
                <w:rFonts w:cs="Arial"/>
                <w:b/>
                <w:bCs/>
                <w:sz w:val="20"/>
                <w:szCs w:val="20"/>
              </w:rPr>
            </w:pPr>
            <w:r>
              <w:rPr>
                <w:rFonts w:cs="Arial"/>
                <w:b/>
                <w:bCs/>
                <w:sz w:val="20"/>
                <w:szCs w:val="20"/>
              </w:rPr>
              <w:t>81</w:t>
            </w:r>
            <w:r w:rsidR="00870BC5">
              <w:rPr>
                <w:rFonts w:cs="Arial"/>
                <w:b/>
                <w:bCs/>
                <w:sz w:val="20"/>
                <w:szCs w:val="20"/>
              </w:rPr>
              <w:t xml:space="preserve"> </w:t>
            </w:r>
            <w:r w:rsidR="00870BC5" w:rsidRPr="00870BC5">
              <w:rPr>
                <w:rFonts w:cs="Arial"/>
                <w:b/>
                <w:bCs/>
                <w:color w:val="FF0000"/>
                <w:sz w:val="16"/>
                <w:szCs w:val="16"/>
              </w:rPr>
              <w:t>(+17)</w:t>
            </w:r>
          </w:p>
        </w:tc>
      </w:tr>
      <w:tr w:rsidR="00F12833" w:rsidRPr="00990003" w14:paraId="35F17E4B" w14:textId="77777777" w:rsidTr="005B7033">
        <w:trPr>
          <w:trHeight w:val="397"/>
        </w:trPr>
        <w:tc>
          <w:tcPr>
            <w:tcW w:w="4447" w:type="pct"/>
            <w:vAlign w:val="center"/>
            <w:hideMark/>
          </w:tcPr>
          <w:p w14:paraId="49C30F82" w14:textId="77777777" w:rsidR="00F12833" w:rsidRPr="00990003" w:rsidRDefault="00F12833" w:rsidP="00F12833">
            <w:pPr>
              <w:pStyle w:val="TextunderNumbered"/>
              <w:numPr>
                <w:ilvl w:val="0"/>
                <w:numId w:val="0"/>
              </w:numPr>
              <w:shd w:val="clear" w:color="auto" w:fill="auto"/>
              <w:spacing w:after="0"/>
              <w:ind w:left="31"/>
              <w:jc w:val="right"/>
              <w:rPr>
                <w:rFonts w:cs="Arial"/>
                <w:sz w:val="20"/>
                <w:szCs w:val="20"/>
              </w:rPr>
            </w:pPr>
            <w:r w:rsidRPr="00990003">
              <w:rPr>
                <w:rFonts w:cs="Arial"/>
                <w:b/>
                <w:sz w:val="20"/>
                <w:szCs w:val="20"/>
              </w:rPr>
              <w:t>Indecent Exposure</w:t>
            </w:r>
            <w:r w:rsidRPr="00990003">
              <w:rPr>
                <w:rFonts w:cs="Arial"/>
                <w:sz w:val="20"/>
                <w:szCs w:val="20"/>
              </w:rPr>
              <w:t xml:space="preserve"> /</w:t>
            </w:r>
          </w:p>
          <w:p w14:paraId="5B36D926" w14:textId="77777777" w:rsidR="00F12833" w:rsidRPr="00990003" w:rsidRDefault="00F12833" w:rsidP="00F12833">
            <w:pPr>
              <w:pStyle w:val="TextunderNumbered"/>
              <w:numPr>
                <w:ilvl w:val="0"/>
                <w:numId w:val="0"/>
              </w:numPr>
              <w:shd w:val="clear" w:color="auto" w:fill="auto"/>
              <w:spacing w:after="0"/>
              <w:ind w:left="31"/>
              <w:jc w:val="right"/>
              <w:rPr>
                <w:rFonts w:cs="Arial"/>
                <w:sz w:val="18"/>
                <w:szCs w:val="18"/>
              </w:rPr>
            </w:pPr>
            <w:r w:rsidRPr="00990003">
              <w:rPr>
                <w:rFonts w:cs="Arial"/>
                <w:i/>
                <w:sz w:val="18"/>
                <w:szCs w:val="18"/>
              </w:rPr>
              <w:t>Inappropriately showing sexual organs to another person</w:t>
            </w:r>
            <w:r w:rsidRPr="00990003">
              <w:rPr>
                <w:rFonts w:cs="Arial"/>
                <w:sz w:val="18"/>
                <w:szCs w:val="18"/>
              </w:rPr>
              <w:t xml:space="preserve">  </w:t>
            </w:r>
          </w:p>
        </w:tc>
        <w:tc>
          <w:tcPr>
            <w:tcW w:w="553" w:type="pct"/>
            <w:shd w:val="clear" w:color="auto" w:fill="DBE5F1" w:themeFill="accent1" w:themeFillTint="33"/>
            <w:noWrap/>
            <w:vAlign w:val="center"/>
          </w:tcPr>
          <w:p w14:paraId="6235685C" w14:textId="15CC1F5E" w:rsidR="00870BC5" w:rsidRPr="00990003" w:rsidRDefault="006032FA" w:rsidP="00870BC5">
            <w:pPr>
              <w:pStyle w:val="TextunderNumbered"/>
              <w:numPr>
                <w:ilvl w:val="0"/>
                <w:numId w:val="0"/>
              </w:numPr>
              <w:shd w:val="clear" w:color="auto" w:fill="auto"/>
              <w:spacing w:after="0"/>
              <w:ind w:left="25"/>
              <w:jc w:val="left"/>
              <w:rPr>
                <w:rFonts w:cs="Arial"/>
                <w:b/>
                <w:bCs/>
                <w:sz w:val="20"/>
                <w:szCs w:val="20"/>
              </w:rPr>
            </w:pPr>
            <w:r>
              <w:rPr>
                <w:rFonts w:cs="Arial"/>
                <w:b/>
                <w:bCs/>
                <w:sz w:val="20"/>
                <w:szCs w:val="20"/>
              </w:rPr>
              <w:t>15</w:t>
            </w:r>
            <w:r w:rsidR="00870BC5">
              <w:rPr>
                <w:rFonts w:cs="Arial"/>
                <w:b/>
                <w:bCs/>
                <w:sz w:val="20"/>
                <w:szCs w:val="20"/>
              </w:rPr>
              <w:t xml:space="preserve"> </w:t>
            </w:r>
            <w:r w:rsidR="00870BC5" w:rsidRPr="00870BC5">
              <w:rPr>
                <w:rFonts w:cs="Arial"/>
                <w:b/>
                <w:bCs/>
                <w:color w:val="FF0000"/>
                <w:sz w:val="16"/>
                <w:szCs w:val="16"/>
              </w:rPr>
              <w:t>(+9)</w:t>
            </w:r>
          </w:p>
        </w:tc>
      </w:tr>
      <w:tr w:rsidR="00F12833" w:rsidRPr="00990003" w14:paraId="320A8520" w14:textId="77777777" w:rsidTr="005B7033">
        <w:trPr>
          <w:trHeight w:val="397"/>
        </w:trPr>
        <w:tc>
          <w:tcPr>
            <w:tcW w:w="4447" w:type="pct"/>
            <w:vAlign w:val="center"/>
            <w:hideMark/>
          </w:tcPr>
          <w:p w14:paraId="0C86DA2B" w14:textId="77777777" w:rsidR="00F12833" w:rsidRPr="00990003" w:rsidRDefault="00F12833" w:rsidP="00F12833">
            <w:pPr>
              <w:pStyle w:val="TextunderNumbered"/>
              <w:numPr>
                <w:ilvl w:val="0"/>
                <w:numId w:val="0"/>
              </w:numPr>
              <w:shd w:val="clear" w:color="auto" w:fill="auto"/>
              <w:spacing w:after="0"/>
              <w:ind w:left="31"/>
              <w:jc w:val="right"/>
              <w:rPr>
                <w:rFonts w:cs="Arial"/>
                <w:sz w:val="20"/>
                <w:szCs w:val="20"/>
              </w:rPr>
            </w:pPr>
            <w:r w:rsidRPr="00990003">
              <w:rPr>
                <w:rFonts w:cs="Arial"/>
                <w:b/>
                <w:sz w:val="20"/>
                <w:szCs w:val="20"/>
              </w:rPr>
              <w:t xml:space="preserve">Stalking </w:t>
            </w:r>
            <w:r w:rsidRPr="00990003">
              <w:rPr>
                <w:rFonts w:cs="Arial"/>
                <w:sz w:val="20"/>
                <w:szCs w:val="20"/>
              </w:rPr>
              <w:t xml:space="preserve">/ </w:t>
            </w:r>
          </w:p>
          <w:p w14:paraId="2C6C4BB6" w14:textId="7D196426" w:rsidR="00F12833" w:rsidRPr="00990003" w:rsidRDefault="00F12833" w:rsidP="00F12833">
            <w:pPr>
              <w:pStyle w:val="TextunderNumbered"/>
              <w:numPr>
                <w:ilvl w:val="0"/>
                <w:numId w:val="0"/>
              </w:numPr>
              <w:shd w:val="clear" w:color="auto" w:fill="auto"/>
              <w:spacing w:after="0"/>
              <w:ind w:left="31"/>
              <w:jc w:val="right"/>
              <w:rPr>
                <w:rFonts w:cs="Arial"/>
                <w:sz w:val="20"/>
                <w:szCs w:val="20"/>
              </w:rPr>
            </w:pPr>
            <w:r w:rsidRPr="00990003">
              <w:rPr>
                <w:rFonts w:cs="Arial"/>
                <w:i/>
                <w:sz w:val="18"/>
                <w:szCs w:val="19"/>
              </w:rPr>
              <w:t>Repeatedly following another person without good reason</w:t>
            </w:r>
            <w:r w:rsidRPr="00990003">
              <w:rPr>
                <w:rFonts w:cs="Arial"/>
                <w:sz w:val="18"/>
                <w:szCs w:val="19"/>
              </w:rPr>
              <w:t xml:space="preserve"> (including</w:t>
            </w:r>
            <w:r w:rsidR="0039349D" w:rsidRPr="00990003">
              <w:rPr>
                <w:rFonts w:cs="Arial"/>
                <w:sz w:val="18"/>
                <w:szCs w:val="19"/>
              </w:rPr>
              <w:t xml:space="preserve"> all forms, e.g.,</w:t>
            </w:r>
            <w:r w:rsidRPr="00990003">
              <w:rPr>
                <w:rFonts w:cs="Arial"/>
                <w:sz w:val="18"/>
                <w:szCs w:val="19"/>
              </w:rPr>
              <w:t xml:space="preserve"> Cyberstalking)</w:t>
            </w:r>
          </w:p>
        </w:tc>
        <w:tc>
          <w:tcPr>
            <w:tcW w:w="553" w:type="pct"/>
            <w:shd w:val="clear" w:color="auto" w:fill="DBE5F1" w:themeFill="accent1" w:themeFillTint="33"/>
            <w:noWrap/>
            <w:vAlign w:val="center"/>
          </w:tcPr>
          <w:p w14:paraId="51A13F69" w14:textId="6C58629D" w:rsidR="00F12833" w:rsidRPr="00990003" w:rsidRDefault="006032FA" w:rsidP="00870BC5">
            <w:pPr>
              <w:pStyle w:val="TextunderNumbered"/>
              <w:numPr>
                <w:ilvl w:val="0"/>
                <w:numId w:val="0"/>
              </w:numPr>
              <w:shd w:val="clear" w:color="auto" w:fill="auto"/>
              <w:spacing w:after="0"/>
              <w:ind w:left="25"/>
              <w:jc w:val="left"/>
              <w:rPr>
                <w:rFonts w:cs="Arial"/>
                <w:b/>
                <w:bCs/>
                <w:sz w:val="20"/>
                <w:szCs w:val="20"/>
              </w:rPr>
            </w:pPr>
            <w:r>
              <w:rPr>
                <w:rFonts w:cs="Arial"/>
                <w:b/>
                <w:bCs/>
                <w:sz w:val="20"/>
                <w:szCs w:val="20"/>
              </w:rPr>
              <w:t>28</w:t>
            </w:r>
            <w:r w:rsidR="00870BC5">
              <w:rPr>
                <w:rFonts w:cs="Arial"/>
                <w:b/>
                <w:bCs/>
                <w:sz w:val="20"/>
                <w:szCs w:val="20"/>
              </w:rPr>
              <w:t xml:space="preserve"> </w:t>
            </w:r>
            <w:r w:rsidR="00870BC5" w:rsidRPr="00870BC5">
              <w:rPr>
                <w:rFonts w:cs="Arial"/>
                <w:b/>
                <w:bCs/>
                <w:color w:val="FF0000"/>
                <w:sz w:val="16"/>
                <w:szCs w:val="16"/>
              </w:rPr>
              <w:t>(+18)</w:t>
            </w:r>
          </w:p>
        </w:tc>
      </w:tr>
      <w:tr w:rsidR="00F12833" w:rsidRPr="00990003" w14:paraId="20D6C236" w14:textId="77777777" w:rsidTr="005B7033">
        <w:trPr>
          <w:trHeight w:val="397"/>
        </w:trPr>
        <w:tc>
          <w:tcPr>
            <w:tcW w:w="4447" w:type="pct"/>
            <w:vAlign w:val="center"/>
            <w:hideMark/>
          </w:tcPr>
          <w:p w14:paraId="58A1D844" w14:textId="6035DA94" w:rsidR="00F12833" w:rsidRPr="00990003" w:rsidRDefault="00F12833" w:rsidP="00F12833">
            <w:pPr>
              <w:pStyle w:val="TextunderNumbered"/>
              <w:numPr>
                <w:ilvl w:val="0"/>
                <w:numId w:val="0"/>
              </w:numPr>
              <w:shd w:val="clear" w:color="auto" w:fill="auto"/>
              <w:spacing w:after="0"/>
              <w:ind w:left="31"/>
              <w:jc w:val="right"/>
              <w:rPr>
                <w:rFonts w:cs="Arial"/>
                <w:b/>
                <w:sz w:val="20"/>
                <w:szCs w:val="20"/>
              </w:rPr>
            </w:pPr>
            <w:r w:rsidRPr="00990003">
              <w:rPr>
                <w:rFonts w:cs="Arial"/>
                <w:b/>
                <w:sz w:val="20"/>
                <w:szCs w:val="20"/>
              </w:rPr>
              <w:t>Image-based Sexual Abuse</w:t>
            </w:r>
            <w:r w:rsidR="005B7033" w:rsidRPr="00990003">
              <w:rPr>
                <w:rFonts w:cs="Arial"/>
                <w:sz w:val="18"/>
                <w:szCs w:val="18"/>
                <w:vertAlign w:val="superscript"/>
              </w:rPr>
              <w:t xml:space="preserve">† </w:t>
            </w:r>
            <w:r w:rsidRPr="00990003">
              <w:rPr>
                <w:rFonts w:cs="Arial"/>
                <w:sz w:val="20"/>
                <w:szCs w:val="20"/>
              </w:rPr>
              <w:t xml:space="preserve">/ </w:t>
            </w:r>
          </w:p>
          <w:p w14:paraId="53F29905" w14:textId="77777777" w:rsidR="00F12833" w:rsidRPr="00990003" w:rsidRDefault="00F12833" w:rsidP="00F12833">
            <w:pPr>
              <w:pStyle w:val="TextunderNumbered"/>
              <w:numPr>
                <w:ilvl w:val="0"/>
                <w:numId w:val="0"/>
              </w:numPr>
              <w:shd w:val="clear" w:color="auto" w:fill="auto"/>
              <w:spacing w:after="0"/>
              <w:ind w:left="31"/>
              <w:jc w:val="right"/>
              <w:rPr>
                <w:rFonts w:cs="Arial"/>
                <w:sz w:val="20"/>
                <w:szCs w:val="20"/>
              </w:rPr>
            </w:pPr>
            <w:r w:rsidRPr="00990003">
              <w:rPr>
                <w:rFonts w:cs="Arial"/>
                <w:i/>
                <w:sz w:val="18"/>
                <w:szCs w:val="19"/>
              </w:rPr>
              <w:t>Recording and/or sharing intimate images or recordings of another person without their consent</w:t>
            </w:r>
          </w:p>
        </w:tc>
        <w:tc>
          <w:tcPr>
            <w:tcW w:w="553" w:type="pct"/>
            <w:shd w:val="clear" w:color="auto" w:fill="DBE5F1" w:themeFill="accent1" w:themeFillTint="33"/>
            <w:noWrap/>
            <w:vAlign w:val="center"/>
          </w:tcPr>
          <w:p w14:paraId="1CE5395F" w14:textId="62A09F50" w:rsidR="00F12833" w:rsidRPr="00990003" w:rsidRDefault="006032FA" w:rsidP="00870BC5">
            <w:pPr>
              <w:pStyle w:val="TextunderNumbered"/>
              <w:numPr>
                <w:ilvl w:val="0"/>
                <w:numId w:val="0"/>
              </w:numPr>
              <w:shd w:val="clear" w:color="auto" w:fill="auto"/>
              <w:spacing w:after="0"/>
              <w:ind w:left="25"/>
              <w:jc w:val="left"/>
              <w:rPr>
                <w:rFonts w:cs="Arial"/>
                <w:b/>
                <w:bCs/>
                <w:sz w:val="20"/>
                <w:szCs w:val="20"/>
              </w:rPr>
            </w:pPr>
            <w:r>
              <w:rPr>
                <w:rFonts w:cs="Arial"/>
                <w:b/>
                <w:bCs/>
                <w:sz w:val="20"/>
                <w:szCs w:val="20"/>
              </w:rPr>
              <w:t>19</w:t>
            </w:r>
            <w:r w:rsidR="00870BC5">
              <w:rPr>
                <w:rFonts w:cs="Arial"/>
                <w:b/>
                <w:bCs/>
                <w:sz w:val="20"/>
                <w:szCs w:val="20"/>
              </w:rPr>
              <w:t xml:space="preserve"> </w:t>
            </w:r>
            <w:r w:rsidR="00870BC5" w:rsidRPr="00870BC5">
              <w:rPr>
                <w:rFonts w:cs="Arial"/>
                <w:b/>
                <w:bCs/>
                <w:color w:val="00B050"/>
                <w:sz w:val="16"/>
                <w:szCs w:val="16"/>
              </w:rPr>
              <w:t>(-1)</w:t>
            </w:r>
          </w:p>
        </w:tc>
      </w:tr>
      <w:tr w:rsidR="00F12833" w:rsidRPr="00990003" w14:paraId="3B1AE628" w14:textId="77777777" w:rsidTr="005B7033">
        <w:trPr>
          <w:trHeight w:val="397"/>
        </w:trPr>
        <w:tc>
          <w:tcPr>
            <w:tcW w:w="4447" w:type="pct"/>
            <w:vAlign w:val="center"/>
            <w:hideMark/>
          </w:tcPr>
          <w:p w14:paraId="69E55D25" w14:textId="77777777" w:rsidR="00F12833" w:rsidRPr="00990003" w:rsidRDefault="00F12833" w:rsidP="00F12833">
            <w:pPr>
              <w:pStyle w:val="TextunderNumbered"/>
              <w:numPr>
                <w:ilvl w:val="0"/>
                <w:numId w:val="0"/>
              </w:numPr>
              <w:shd w:val="clear" w:color="auto" w:fill="auto"/>
              <w:spacing w:after="0"/>
              <w:ind w:left="31"/>
              <w:jc w:val="right"/>
              <w:rPr>
                <w:rFonts w:cs="Arial"/>
                <w:sz w:val="20"/>
                <w:szCs w:val="20"/>
              </w:rPr>
            </w:pPr>
            <w:r w:rsidRPr="00990003">
              <w:rPr>
                <w:rFonts w:cs="Arial"/>
                <w:b/>
                <w:sz w:val="20"/>
                <w:szCs w:val="20"/>
              </w:rPr>
              <w:t>Domestic Abuse</w:t>
            </w:r>
            <w:r w:rsidRPr="00990003">
              <w:rPr>
                <w:rFonts w:cs="Arial"/>
                <w:sz w:val="20"/>
                <w:szCs w:val="20"/>
              </w:rPr>
              <w:t xml:space="preserve"> / </w:t>
            </w:r>
          </w:p>
          <w:p w14:paraId="1F3331E1" w14:textId="77777777" w:rsidR="00F12833" w:rsidRPr="00990003" w:rsidRDefault="00F12833" w:rsidP="00F12833">
            <w:pPr>
              <w:pStyle w:val="TextunderNumbered"/>
              <w:numPr>
                <w:ilvl w:val="0"/>
                <w:numId w:val="0"/>
              </w:numPr>
              <w:shd w:val="clear" w:color="auto" w:fill="auto"/>
              <w:spacing w:after="0"/>
              <w:ind w:left="31"/>
              <w:jc w:val="right"/>
              <w:rPr>
                <w:rFonts w:cs="Arial"/>
                <w:sz w:val="18"/>
                <w:szCs w:val="18"/>
              </w:rPr>
            </w:pPr>
            <w:r w:rsidRPr="00990003">
              <w:rPr>
                <w:rFonts w:cs="Arial"/>
                <w:i/>
                <w:sz w:val="18"/>
                <w:szCs w:val="18"/>
              </w:rPr>
              <w:t>Domestic abuse and coercive or controlling behaviour is defined as any incident or pattern of incidents of controlling, coercive, threatening behaviour, violence or abuse between those who are, or have been, intimate partners or family members regardless of gender or sexuality. This can include, but is not limited to, psychological, physical, sexual, financial and/or emotional abuse</w:t>
            </w:r>
            <w:r w:rsidRPr="00990003">
              <w:rPr>
                <w:rFonts w:cs="Arial"/>
                <w:sz w:val="18"/>
                <w:szCs w:val="18"/>
              </w:rPr>
              <w:t>.</w:t>
            </w:r>
          </w:p>
        </w:tc>
        <w:tc>
          <w:tcPr>
            <w:tcW w:w="553" w:type="pct"/>
            <w:shd w:val="clear" w:color="auto" w:fill="DBE5F1" w:themeFill="accent1" w:themeFillTint="33"/>
            <w:noWrap/>
            <w:vAlign w:val="center"/>
          </w:tcPr>
          <w:p w14:paraId="0A0D4BA0" w14:textId="2EE60C3F" w:rsidR="00F12833" w:rsidRPr="00990003" w:rsidRDefault="006032FA" w:rsidP="00870BC5">
            <w:pPr>
              <w:pStyle w:val="TextunderNumbered"/>
              <w:numPr>
                <w:ilvl w:val="0"/>
                <w:numId w:val="0"/>
              </w:numPr>
              <w:shd w:val="clear" w:color="auto" w:fill="auto"/>
              <w:spacing w:after="0"/>
              <w:ind w:left="25"/>
              <w:jc w:val="left"/>
              <w:rPr>
                <w:rFonts w:cs="Arial"/>
                <w:b/>
                <w:bCs/>
                <w:sz w:val="20"/>
                <w:szCs w:val="20"/>
              </w:rPr>
            </w:pPr>
            <w:r>
              <w:rPr>
                <w:rFonts w:cs="Arial"/>
                <w:b/>
                <w:bCs/>
                <w:sz w:val="20"/>
                <w:szCs w:val="20"/>
              </w:rPr>
              <w:t>23</w:t>
            </w:r>
            <w:r w:rsidR="00870BC5">
              <w:rPr>
                <w:rFonts w:cs="Arial"/>
                <w:b/>
                <w:bCs/>
                <w:sz w:val="20"/>
                <w:szCs w:val="20"/>
              </w:rPr>
              <w:t xml:space="preserve"> </w:t>
            </w:r>
            <w:r w:rsidR="00870BC5" w:rsidRPr="00870BC5">
              <w:rPr>
                <w:rFonts w:cs="Arial"/>
                <w:b/>
                <w:bCs/>
                <w:color w:val="FF0000"/>
                <w:sz w:val="16"/>
                <w:szCs w:val="16"/>
              </w:rPr>
              <w:t>(</w:t>
            </w:r>
            <w:r w:rsidR="00870BC5">
              <w:rPr>
                <w:rFonts w:cs="Arial"/>
                <w:b/>
                <w:bCs/>
                <w:color w:val="FF0000"/>
                <w:sz w:val="16"/>
                <w:szCs w:val="16"/>
              </w:rPr>
              <w:t>~</w:t>
            </w:r>
            <w:r w:rsidR="00870BC5" w:rsidRPr="00870BC5">
              <w:rPr>
                <w:rFonts w:cs="Arial"/>
                <w:b/>
                <w:bCs/>
                <w:color w:val="FF0000"/>
                <w:sz w:val="16"/>
                <w:szCs w:val="16"/>
              </w:rPr>
              <w:t>)</w:t>
            </w:r>
          </w:p>
        </w:tc>
      </w:tr>
      <w:tr w:rsidR="005B7033" w:rsidRPr="00990003" w14:paraId="0524AA34" w14:textId="77777777" w:rsidTr="005B7033">
        <w:trPr>
          <w:trHeight w:val="397"/>
        </w:trPr>
        <w:tc>
          <w:tcPr>
            <w:tcW w:w="4447" w:type="pct"/>
            <w:vAlign w:val="center"/>
          </w:tcPr>
          <w:p w14:paraId="74116BB3" w14:textId="6F7B37D1" w:rsidR="005B7033" w:rsidRPr="00990003" w:rsidRDefault="005B7033" w:rsidP="005B7033">
            <w:pPr>
              <w:pStyle w:val="TextunderNumbered"/>
              <w:numPr>
                <w:ilvl w:val="0"/>
                <w:numId w:val="0"/>
              </w:numPr>
              <w:shd w:val="clear" w:color="auto" w:fill="auto"/>
              <w:spacing w:after="0"/>
              <w:ind w:left="31"/>
              <w:jc w:val="right"/>
              <w:rPr>
                <w:rFonts w:cs="Arial"/>
                <w:sz w:val="20"/>
                <w:szCs w:val="20"/>
              </w:rPr>
            </w:pPr>
            <w:r w:rsidRPr="00990003">
              <w:rPr>
                <w:rFonts w:cs="Arial"/>
                <w:b/>
                <w:sz w:val="20"/>
                <w:szCs w:val="20"/>
              </w:rPr>
              <w:t>Grooming / Boundary Blurring</w:t>
            </w:r>
            <w:r w:rsidR="008B066F" w:rsidRPr="00990003">
              <w:rPr>
                <w:rFonts w:cs="Arial"/>
                <w:b/>
                <w:sz w:val="20"/>
                <w:szCs w:val="20"/>
              </w:rPr>
              <w:t xml:space="preserve"> </w:t>
            </w:r>
            <w:r w:rsidRPr="00990003">
              <w:rPr>
                <w:rFonts w:cs="Arial"/>
                <w:sz w:val="20"/>
                <w:szCs w:val="20"/>
              </w:rPr>
              <w:t xml:space="preserve">/ </w:t>
            </w:r>
          </w:p>
          <w:p w14:paraId="6945B60B" w14:textId="2E95942F" w:rsidR="005B7033" w:rsidRPr="00990003" w:rsidRDefault="008B066F" w:rsidP="005B7033">
            <w:pPr>
              <w:pStyle w:val="TextunderNumbered"/>
              <w:numPr>
                <w:ilvl w:val="0"/>
                <w:numId w:val="0"/>
              </w:numPr>
              <w:shd w:val="clear" w:color="auto" w:fill="auto"/>
              <w:spacing w:after="0"/>
              <w:ind w:left="31"/>
              <w:jc w:val="right"/>
              <w:rPr>
                <w:rFonts w:cs="Arial"/>
                <w:bCs/>
                <w:i/>
                <w:iCs/>
                <w:sz w:val="20"/>
                <w:szCs w:val="20"/>
              </w:rPr>
            </w:pPr>
            <w:r w:rsidRPr="00990003">
              <w:rPr>
                <w:rFonts w:cs="Arial"/>
                <w:bCs/>
                <w:i/>
                <w:iCs/>
                <w:sz w:val="18"/>
                <w:szCs w:val="18"/>
              </w:rPr>
              <w:t>misuses of power, grooming, sexual invitations, comments and non-verbal communication with sexual content or overtones, creation of inappropriate sexual atmosphere, and promised resources in exchange for sexual interaction.</w:t>
            </w:r>
          </w:p>
        </w:tc>
        <w:tc>
          <w:tcPr>
            <w:tcW w:w="553" w:type="pct"/>
            <w:shd w:val="clear" w:color="auto" w:fill="DBE5F1" w:themeFill="accent1" w:themeFillTint="33"/>
            <w:noWrap/>
            <w:vAlign w:val="center"/>
          </w:tcPr>
          <w:p w14:paraId="3265C433" w14:textId="12A4E965" w:rsidR="005B7033" w:rsidRPr="00990003" w:rsidRDefault="006032FA" w:rsidP="00870BC5">
            <w:pPr>
              <w:pStyle w:val="TextunderNumbered"/>
              <w:numPr>
                <w:ilvl w:val="0"/>
                <w:numId w:val="0"/>
              </w:numPr>
              <w:shd w:val="clear" w:color="auto" w:fill="auto"/>
              <w:spacing w:after="0"/>
              <w:ind w:left="25"/>
              <w:jc w:val="left"/>
              <w:rPr>
                <w:rFonts w:cs="Arial"/>
                <w:b/>
                <w:bCs/>
                <w:sz w:val="20"/>
                <w:szCs w:val="20"/>
              </w:rPr>
            </w:pPr>
            <w:r>
              <w:rPr>
                <w:rFonts w:cs="Arial"/>
                <w:b/>
                <w:bCs/>
                <w:sz w:val="20"/>
                <w:szCs w:val="20"/>
              </w:rPr>
              <w:t>12</w:t>
            </w:r>
            <w:r w:rsidR="00870BC5">
              <w:rPr>
                <w:rFonts w:cs="Arial"/>
                <w:b/>
                <w:bCs/>
                <w:sz w:val="20"/>
                <w:szCs w:val="20"/>
              </w:rPr>
              <w:t xml:space="preserve"> </w:t>
            </w:r>
            <w:r w:rsidR="00870BC5" w:rsidRPr="00870BC5">
              <w:rPr>
                <w:rFonts w:cs="Arial"/>
                <w:b/>
                <w:bCs/>
                <w:color w:val="FF0000"/>
                <w:sz w:val="16"/>
                <w:szCs w:val="16"/>
              </w:rPr>
              <w:t>(+5)</w:t>
            </w:r>
          </w:p>
        </w:tc>
      </w:tr>
      <w:tr w:rsidR="005B7033" w:rsidRPr="00990003" w14:paraId="122B7B8E" w14:textId="77777777" w:rsidTr="005B7033">
        <w:trPr>
          <w:trHeight w:val="397"/>
        </w:trPr>
        <w:tc>
          <w:tcPr>
            <w:tcW w:w="4447" w:type="pct"/>
            <w:vAlign w:val="center"/>
          </w:tcPr>
          <w:p w14:paraId="5B4C0358" w14:textId="024B5AB8" w:rsidR="005B7033" w:rsidRPr="00990003" w:rsidRDefault="005B7033" w:rsidP="005B7033">
            <w:pPr>
              <w:pStyle w:val="TextunderNumbered"/>
              <w:numPr>
                <w:ilvl w:val="0"/>
                <w:numId w:val="0"/>
              </w:numPr>
              <w:shd w:val="clear" w:color="auto" w:fill="auto"/>
              <w:spacing w:after="0"/>
              <w:ind w:left="31"/>
              <w:jc w:val="right"/>
              <w:rPr>
                <w:rFonts w:cs="Arial"/>
                <w:sz w:val="20"/>
                <w:szCs w:val="20"/>
              </w:rPr>
            </w:pPr>
            <w:r w:rsidRPr="00990003">
              <w:rPr>
                <w:rFonts w:cs="Arial"/>
                <w:b/>
                <w:sz w:val="20"/>
                <w:szCs w:val="20"/>
              </w:rPr>
              <w:t xml:space="preserve">Other </w:t>
            </w:r>
            <w:r w:rsidRPr="00990003">
              <w:rPr>
                <w:rFonts w:cs="Arial"/>
                <w:sz w:val="20"/>
                <w:szCs w:val="20"/>
              </w:rPr>
              <w:t xml:space="preserve">/ </w:t>
            </w:r>
          </w:p>
          <w:p w14:paraId="76DB22BD" w14:textId="71338B50" w:rsidR="005B7033" w:rsidRPr="00990003" w:rsidRDefault="008B066F" w:rsidP="005B7033">
            <w:pPr>
              <w:pStyle w:val="TextunderNumbered"/>
              <w:numPr>
                <w:ilvl w:val="0"/>
                <w:numId w:val="0"/>
              </w:numPr>
              <w:shd w:val="clear" w:color="auto" w:fill="auto"/>
              <w:spacing w:after="0"/>
              <w:ind w:left="31"/>
              <w:jc w:val="right"/>
              <w:rPr>
                <w:rFonts w:cs="Arial"/>
                <w:bCs/>
                <w:i/>
                <w:iCs/>
                <w:sz w:val="20"/>
                <w:szCs w:val="20"/>
              </w:rPr>
            </w:pPr>
            <w:r w:rsidRPr="00990003">
              <w:rPr>
                <w:rFonts w:cs="Arial"/>
                <w:bCs/>
                <w:i/>
                <w:iCs/>
                <w:sz w:val="18"/>
                <w:szCs w:val="18"/>
              </w:rPr>
              <w:t xml:space="preserve">e.g., </w:t>
            </w:r>
            <w:r w:rsidR="005B7033" w:rsidRPr="00990003">
              <w:rPr>
                <w:rFonts w:cs="Arial"/>
                <w:bCs/>
                <w:i/>
                <w:iCs/>
                <w:sz w:val="18"/>
                <w:szCs w:val="18"/>
              </w:rPr>
              <w:t>Spiking</w:t>
            </w:r>
            <w:r w:rsidR="006032FA">
              <w:rPr>
                <w:rFonts w:cs="Arial"/>
                <w:bCs/>
                <w:i/>
                <w:iCs/>
                <w:sz w:val="18"/>
                <w:szCs w:val="18"/>
              </w:rPr>
              <w:t xml:space="preserve">, hazing/initiations, sexually motivated burglary  </w:t>
            </w:r>
          </w:p>
        </w:tc>
        <w:tc>
          <w:tcPr>
            <w:tcW w:w="553" w:type="pct"/>
            <w:shd w:val="clear" w:color="auto" w:fill="DBE5F1" w:themeFill="accent1" w:themeFillTint="33"/>
            <w:noWrap/>
            <w:vAlign w:val="center"/>
          </w:tcPr>
          <w:p w14:paraId="4FD0A3DF" w14:textId="53EFB566" w:rsidR="005B7033" w:rsidRPr="00990003" w:rsidRDefault="006032FA" w:rsidP="00870BC5">
            <w:pPr>
              <w:pStyle w:val="TextunderNumbered"/>
              <w:numPr>
                <w:ilvl w:val="0"/>
                <w:numId w:val="0"/>
              </w:numPr>
              <w:shd w:val="clear" w:color="auto" w:fill="auto"/>
              <w:spacing w:after="0"/>
              <w:ind w:left="25"/>
              <w:jc w:val="left"/>
              <w:rPr>
                <w:rFonts w:cs="Arial"/>
                <w:b/>
                <w:bCs/>
                <w:sz w:val="20"/>
                <w:szCs w:val="20"/>
              </w:rPr>
            </w:pPr>
            <w:r>
              <w:rPr>
                <w:rFonts w:cs="Arial"/>
                <w:b/>
                <w:bCs/>
                <w:sz w:val="20"/>
                <w:szCs w:val="20"/>
              </w:rPr>
              <w:t>22</w:t>
            </w:r>
            <w:r w:rsidR="002E5DE1">
              <w:rPr>
                <w:rFonts w:cs="Arial"/>
                <w:b/>
                <w:bCs/>
                <w:sz w:val="20"/>
                <w:szCs w:val="20"/>
              </w:rPr>
              <w:t xml:space="preserve"> </w:t>
            </w:r>
            <w:r w:rsidR="00870BC5" w:rsidRPr="00870BC5">
              <w:rPr>
                <w:rFonts w:cs="Arial"/>
                <w:b/>
                <w:bCs/>
                <w:color w:val="FF0000"/>
                <w:sz w:val="16"/>
                <w:szCs w:val="16"/>
              </w:rPr>
              <w:t>(+5)</w:t>
            </w:r>
          </w:p>
        </w:tc>
      </w:tr>
      <w:tr w:rsidR="00F12833" w:rsidRPr="00990003" w14:paraId="25D7392C" w14:textId="77777777" w:rsidTr="005B7033">
        <w:trPr>
          <w:trHeight w:val="397"/>
        </w:trPr>
        <w:tc>
          <w:tcPr>
            <w:tcW w:w="4447" w:type="pct"/>
            <w:shd w:val="clear" w:color="auto" w:fill="DBE5F1" w:themeFill="accent1" w:themeFillTint="33"/>
            <w:noWrap/>
            <w:vAlign w:val="center"/>
            <w:hideMark/>
          </w:tcPr>
          <w:p w14:paraId="11FC6CBE" w14:textId="77777777" w:rsidR="00F12833" w:rsidRPr="00990003" w:rsidRDefault="00F12833" w:rsidP="00F12833">
            <w:pPr>
              <w:pStyle w:val="TextunderNumbered"/>
              <w:numPr>
                <w:ilvl w:val="0"/>
                <w:numId w:val="0"/>
              </w:numPr>
              <w:shd w:val="clear" w:color="auto" w:fill="auto"/>
              <w:spacing w:after="0"/>
              <w:ind w:left="31"/>
              <w:jc w:val="right"/>
              <w:rPr>
                <w:rFonts w:cs="Arial"/>
                <w:b/>
                <w:bCs/>
                <w:sz w:val="20"/>
                <w:szCs w:val="20"/>
              </w:rPr>
            </w:pPr>
            <w:r w:rsidRPr="00990003">
              <w:rPr>
                <w:rFonts w:cs="Arial"/>
                <w:b/>
                <w:bCs/>
                <w:sz w:val="20"/>
                <w:szCs w:val="20"/>
              </w:rPr>
              <w:lastRenderedPageBreak/>
              <w:t>Total</w:t>
            </w:r>
          </w:p>
        </w:tc>
        <w:tc>
          <w:tcPr>
            <w:tcW w:w="553" w:type="pct"/>
            <w:shd w:val="clear" w:color="auto" w:fill="DBE5F1" w:themeFill="accent1" w:themeFillTint="33"/>
            <w:noWrap/>
            <w:vAlign w:val="center"/>
          </w:tcPr>
          <w:p w14:paraId="1BE47132" w14:textId="58DED063" w:rsidR="00F12833" w:rsidRPr="00990003" w:rsidRDefault="006032FA" w:rsidP="00870BC5">
            <w:pPr>
              <w:pStyle w:val="TextunderNumbered"/>
              <w:numPr>
                <w:ilvl w:val="0"/>
                <w:numId w:val="0"/>
              </w:numPr>
              <w:shd w:val="clear" w:color="auto" w:fill="auto"/>
              <w:spacing w:after="0"/>
              <w:jc w:val="left"/>
              <w:rPr>
                <w:rFonts w:cs="Arial"/>
                <w:b/>
                <w:bCs/>
                <w:sz w:val="20"/>
                <w:szCs w:val="20"/>
              </w:rPr>
            </w:pPr>
            <w:r>
              <w:rPr>
                <w:rFonts w:cs="Arial"/>
                <w:b/>
                <w:bCs/>
                <w:sz w:val="20"/>
                <w:szCs w:val="20"/>
              </w:rPr>
              <w:t>361</w:t>
            </w:r>
            <w:r w:rsidR="00870BC5">
              <w:rPr>
                <w:rFonts w:cs="Arial"/>
                <w:b/>
                <w:bCs/>
                <w:sz w:val="20"/>
                <w:szCs w:val="20"/>
              </w:rPr>
              <w:t xml:space="preserve"> </w:t>
            </w:r>
            <w:r w:rsidR="00870BC5" w:rsidRPr="00870BC5">
              <w:rPr>
                <w:rFonts w:cs="Arial"/>
                <w:b/>
                <w:bCs/>
                <w:color w:val="FF0000"/>
                <w:sz w:val="16"/>
                <w:szCs w:val="16"/>
              </w:rPr>
              <w:t>(+54)</w:t>
            </w:r>
          </w:p>
        </w:tc>
      </w:tr>
      <w:tr w:rsidR="00F12833" w:rsidRPr="00990003" w14:paraId="09F32E89" w14:textId="77777777" w:rsidTr="002A0835">
        <w:trPr>
          <w:trHeight w:val="397"/>
        </w:trPr>
        <w:tc>
          <w:tcPr>
            <w:tcW w:w="5000" w:type="pct"/>
            <w:gridSpan w:val="2"/>
            <w:shd w:val="clear" w:color="auto" w:fill="DBE5F1" w:themeFill="accent1" w:themeFillTint="33"/>
            <w:noWrap/>
            <w:vAlign w:val="center"/>
          </w:tcPr>
          <w:p w14:paraId="4CB914B1" w14:textId="4393CB79" w:rsidR="00F12833" w:rsidRPr="00990003" w:rsidRDefault="00F12833" w:rsidP="00F12833">
            <w:pPr>
              <w:pStyle w:val="TextunderNumbered"/>
              <w:numPr>
                <w:ilvl w:val="0"/>
                <w:numId w:val="0"/>
              </w:numPr>
              <w:shd w:val="clear" w:color="auto" w:fill="auto"/>
              <w:spacing w:after="60"/>
              <w:jc w:val="left"/>
              <w:rPr>
                <w:rFonts w:cs="Arial"/>
                <w:bCs/>
                <w:sz w:val="18"/>
                <w:szCs w:val="18"/>
              </w:rPr>
            </w:pPr>
            <w:r w:rsidRPr="00990003">
              <w:rPr>
                <w:rFonts w:cs="Arial"/>
                <w:bCs/>
                <w:sz w:val="18"/>
                <w:szCs w:val="18"/>
              </w:rPr>
              <w:t>*Examples of criminal offence labels are used</w:t>
            </w:r>
            <w:r w:rsidR="00B86CAE" w:rsidRPr="00990003">
              <w:rPr>
                <w:rFonts w:cs="Arial"/>
                <w:bCs/>
                <w:sz w:val="18"/>
                <w:szCs w:val="18"/>
              </w:rPr>
              <w:t xml:space="preserve"> </w:t>
            </w:r>
            <w:r w:rsidRPr="00990003">
              <w:rPr>
                <w:rFonts w:cs="Arial"/>
                <w:bCs/>
                <w:sz w:val="18"/>
                <w:szCs w:val="18"/>
              </w:rPr>
              <w:t xml:space="preserve">as in some cases the </w:t>
            </w:r>
            <w:r w:rsidR="00B86CAE" w:rsidRPr="00990003">
              <w:rPr>
                <w:rFonts w:cs="Arial"/>
                <w:bCs/>
                <w:sz w:val="18"/>
                <w:szCs w:val="18"/>
              </w:rPr>
              <w:t xml:space="preserve">incidents </w:t>
            </w:r>
            <w:r w:rsidRPr="00990003">
              <w:rPr>
                <w:rFonts w:cs="Arial"/>
                <w:bCs/>
                <w:sz w:val="18"/>
                <w:szCs w:val="18"/>
              </w:rPr>
              <w:t>were reported to the Police.</w:t>
            </w:r>
          </w:p>
          <w:p w14:paraId="41E504BA" w14:textId="0869DC52" w:rsidR="00F12833" w:rsidRPr="00990003" w:rsidRDefault="00F12833" w:rsidP="005B7033">
            <w:pPr>
              <w:pStyle w:val="TextunderNumbered"/>
              <w:numPr>
                <w:ilvl w:val="0"/>
                <w:numId w:val="0"/>
              </w:numPr>
              <w:shd w:val="clear" w:color="auto" w:fill="auto"/>
              <w:spacing w:after="60"/>
              <w:ind w:left="567" w:hanging="567"/>
              <w:jc w:val="left"/>
              <w:rPr>
                <w:rFonts w:cs="Arial"/>
                <w:b/>
                <w:bCs/>
                <w:sz w:val="20"/>
                <w:szCs w:val="20"/>
              </w:rPr>
            </w:pPr>
            <w:r w:rsidRPr="00990003">
              <w:rPr>
                <w:rFonts w:cs="Arial"/>
                <w:sz w:val="18"/>
                <w:szCs w:val="18"/>
                <w:vertAlign w:val="superscript"/>
              </w:rPr>
              <w:t>†</w:t>
            </w:r>
            <w:r w:rsidRPr="00990003">
              <w:rPr>
                <w:rFonts w:cs="Arial"/>
                <w:bCs/>
                <w:sz w:val="18"/>
                <w:szCs w:val="18"/>
              </w:rPr>
              <w:t xml:space="preserve">This </w:t>
            </w:r>
            <w:r w:rsidRPr="00990003">
              <w:rPr>
                <w:rFonts w:cs="Arial"/>
                <w:sz w:val="18"/>
                <w:szCs w:val="18"/>
              </w:rPr>
              <w:t xml:space="preserve">category includes other related forms on technology </w:t>
            </w:r>
            <w:r w:rsidR="00F55CFF" w:rsidRPr="00990003">
              <w:rPr>
                <w:rFonts w:cs="Arial"/>
                <w:sz w:val="18"/>
                <w:szCs w:val="18"/>
              </w:rPr>
              <w:t>facilitated</w:t>
            </w:r>
            <w:r w:rsidRPr="00990003">
              <w:rPr>
                <w:rFonts w:cs="Arial"/>
                <w:sz w:val="18"/>
                <w:szCs w:val="18"/>
              </w:rPr>
              <w:t xml:space="preserve"> SMV, </w:t>
            </w:r>
            <w:r w:rsidR="00F55CFF" w:rsidRPr="00990003">
              <w:rPr>
                <w:rFonts w:cs="Arial"/>
                <w:sz w:val="18"/>
                <w:szCs w:val="18"/>
              </w:rPr>
              <w:t>e.g.,</w:t>
            </w:r>
            <w:r w:rsidRPr="00990003">
              <w:rPr>
                <w:rFonts w:cs="Arial"/>
                <w:sz w:val="18"/>
                <w:szCs w:val="18"/>
              </w:rPr>
              <w:t xml:space="preserve"> online sexual misconduct</w:t>
            </w:r>
            <w:r w:rsidR="00B86CAE" w:rsidRPr="00990003">
              <w:rPr>
                <w:rFonts w:cs="Arial"/>
                <w:sz w:val="18"/>
                <w:szCs w:val="18"/>
              </w:rPr>
              <w:t>.</w:t>
            </w:r>
          </w:p>
        </w:tc>
      </w:tr>
    </w:tbl>
    <w:p w14:paraId="11444DC6" w14:textId="2CE756EE" w:rsidR="007E704E" w:rsidRPr="00990003" w:rsidRDefault="007E704E">
      <w:pPr>
        <w:jc w:val="left"/>
        <w:rPr>
          <w:rFonts w:eastAsiaTheme="majorEastAsia" w:cstheme="majorBidi"/>
          <w:b/>
          <w:bCs/>
          <w:color w:val="68246D"/>
          <w:kern w:val="32"/>
        </w:rPr>
      </w:pPr>
    </w:p>
    <w:p w14:paraId="0F722AD4" w14:textId="1C35A1CB" w:rsidR="00CA67B7" w:rsidRPr="009160D9" w:rsidRDefault="00D702A8" w:rsidP="00CA67B7">
      <w:pPr>
        <w:pStyle w:val="TextunderNumbered"/>
        <w:numPr>
          <w:ilvl w:val="1"/>
          <w:numId w:val="17"/>
        </w:numPr>
        <w:shd w:val="clear" w:color="auto" w:fill="auto"/>
        <w:ind w:left="540" w:hanging="824"/>
      </w:pPr>
      <w:r w:rsidRPr="009160D9">
        <w:t xml:space="preserve">In the </w:t>
      </w:r>
      <w:r w:rsidR="009160D9">
        <w:t>2019/20</w:t>
      </w:r>
      <w:r w:rsidRPr="009160D9">
        <w:t xml:space="preserve"> academic year,</w:t>
      </w:r>
      <w:r w:rsidR="00CA67B7" w:rsidRPr="009160D9">
        <w:t xml:space="preserve"> we began to record high risk markers identified in disclosures and/or through risk assessments conducted with Reporting Parties. During the 2022/23 academic year, we identified 122 cases that included</w:t>
      </w:r>
      <w:r w:rsidR="00E96C61">
        <w:t xml:space="preserve"> high</w:t>
      </w:r>
      <w:r w:rsidR="00CA67B7" w:rsidRPr="009160D9">
        <w:t xml:space="preserve"> risk markers which represents 51% of the disclosures</w:t>
      </w:r>
      <w:r w:rsidRPr="009160D9">
        <w:t xml:space="preserve"> (n=237)</w:t>
      </w:r>
      <w:r w:rsidR="00CA67B7" w:rsidRPr="009160D9">
        <w:t xml:space="preserve"> or 45% of all known incidents (disclosures</w:t>
      </w:r>
      <w:r w:rsidRPr="009160D9">
        <w:t xml:space="preserve"> and</w:t>
      </w:r>
      <w:r w:rsidR="00CA67B7" w:rsidRPr="009160D9">
        <w:t xml:space="preserve"> anonymous reports</w:t>
      </w:r>
      <w:r w:rsidRPr="009160D9">
        <w:t>, n=274</w:t>
      </w:r>
      <w:r w:rsidR="00CA67B7" w:rsidRPr="009160D9">
        <w:t xml:space="preserve">). For anonymous reports, we are unable to identify any </w:t>
      </w:r>
      <w:r w:rsidRPr="009160D9">
        <w:t>risk</w:t>
      </w:r>
      <w:r w:rsidR="00CA67B7" w:rsidRPr="009160D9">
        <w:t xml:space="preserve"> markers as there are no questions within the anonymous reporting form that would identify this. </w:t>
      </w:r>
      <w:r w:rsidRPr="009160D9">
        <w:t xml:space="preserve">Of the 122 cases where risk markers were identified, there were 156 different risk markers recorded as shown in </w:t>
      </w:r>
      <w:r w:rsidRPr="009160D9">
        <w:rPr>
          <w:b/>
          <w:bCs/>
        </w:rPr>
        <w:t>Figure 8.</w:t>
      </w:r>
      <w:r w:rsidRPr="009160D9">
        <w:t xml:space="preserve"> </w:t>
      </w:r>
      <w:r w:rsidR="009160D9" w:rsidRPr="009160D9">
        <w:t xml:space="preserve">These cases highlight the importance of having specialist trauma-informed case managers and investigators responding to these cases.  </w:t>
      </w:r>
    </w:p>
    <w:p w14:paraId="3BE9B283" w14:textId="2E083D5F" w:rsidR="00CA67B7" w:rsidRDefault="00CA67B7" w:rsidP="00CA67B7">
      <w:pPr>
        <w:pStyle w:val="TextunderNumbered"/>
        <w:numPr>
          <w:ilvl w:val="0"/>
          <w:numId w:val="0"/>
        </w:numPr>
        <w:shd w:val="clear" w:color="auto" w:fill="auto"/>
        <w:ind w:left="502" w:hanging="502"/>
        <w:rPr>
          <w:b/>
        </w:rPr>
      </w:pPr>
      <w:r>
        <w:rPr>
          <w:noProof/>
        </w:rPr>
        <w:drawing>
          <wp:inline distT="0" distB="0" distL="0" distR="0" wp14:anchorId="0D272401" wp14:editId="1D9201B9">
            <wp:extent cx="6004560" cy="4320000"/>
            <wp:effectExtent l="0" t="0" r="15240" b="4445"/>
            <wp:docPr id="3" name="Chart 3">
              <a:extLst xmlns:a="http://schemas.openxmlformats.org/drawingml/2006/main">
                <a:ext uri="{FF2B5EF4-FFF2-40B4-BE49-F238E27FC236}">
                  <a16:creationId xmlns:a16="http://schemas.microsoft.com/office/drawing/2014/main" id="{3205A1C8-6827-79AA-FB52-64C3E3913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35BDA8" w14:textId="0FE6BB10" w:rsidR="004056E6" w:rsidRPr="00B33FA3" w:rsidRDefault="004056E6" w:rsidP="004056E6">
      <w:pPr>
        <w:pStyle w:val="TextunderNumbered"/>
        <w:numPr>
          <w:ilvl w:val="1"/>
          <w:numId w:val="17"/>
        </w:numPr>
        <w:shd w:val="clear" w:color="auto" w:fill="auto"/>
        <w:spacing w:before="240"/>
        <w:ind w:left="540" w:hanging="824"/>
      </w:pPr>
      <w:r w:rsidRPr="0078767C">
        <w:rPr>
          <w:rFonts w:eastAsiaTheme="majorEastAsia" w:cstheme="majorBidi"/>
          <w:b/>
          <w:kern w:val="32"/>
        </w:rPr>
        <w:t xml:space="preserve">Figure </w:t>
      </w:r>
      <w:r w:rsidR="00E96C61">
        <w:rPr>
          <w:rFonts w:eastAsiaTheme="majorEastAsia" w:cstheme="majorBidi"/>
          <w:b/>
          <w:kern w:val="32"/>
        </w:rPr>
        <w:t>9</w:t>
      </w:r>
      <w:r w:rsidRPr="0078767C">
        <w:rPr>
          <w:rFonts w:eastAsiaTheme="majorEastAsia" w:cstheme="majorBidi"/>
          <w:b/>
          <w:kern w:val="32"/>
        </w:rPr>
        <w:t xml:space="preserve"> </w:t>
      </w:r>
      <w:r w:rsidR="004D28E2">
        <w:rPr>
          <w:rFonts w:eastAsiaTheme="majorEastAsia" w:cstheme="majorBidi"/>
          <w:bCs/>
          <w:kern w:val="32"/>
        </w:rPr>
        <w:t xml:space="preserve">showing data </w:t>
      </w:r>
      <w:r w:rsidRPr="0078767C">
        <w:rPr>
          <w:rFonts w:eastAsiaTheme="majorEastAsia" w:cstheme="majorBidi"/>
          <w:bCs/>
          <w:kern w:val="32"/>
        </w:rPr>
        <w:t>from the R+S platform presents reasons why a victim-survivor chose only to make an anonymous report. It should be noted that anonymous reports have no free-text option</w:t>
      </w:r>
      <w:r w:rsidRPr="0078767C">
        <w:rPr>
          <w:rStyle w:val="FootnoteReference"/>
          <w:rFonts w:eastAsiaTheme="majorEastAsia" w:cstheme="majorBidi"/>
          <w:bCs/>
          <w:kern w:val="32"/>
        </w:rPr>
        <w:footnoteReference w:id="10"/>
      </w:r>
      <w:r w:rsidRPr="0078767C">
        <w:rPr>
          <w:rFonts w:eastAsiaTheme="majorEastAsia" w:cstheme="majorBidi"/>
          <w:bCs/>
          <w:kern w:val="32"/>
        </w:rPr>
        <w:t xml:space="preserve">, so there is no information that can be gathered about the incident, Responding Party, potential risk, or any other information that the University may be able to use to mitigate risk within the community. </w:t>
      </w:r>
      <w:r w:rsidR="00E96C61">
        <w:rPr>
          <w:rFonts w:eastAsiaTheme="majorEastAsia" w:cstheme="majorBidi"/>
          <w:bCs/>
          <w:kern w:val="32"/>
        </w:rPr>
        <w:t>Reporting Parties can choose multiple reasons why they have made an anonymous report.</w:t>
      </w:r>
      <w:r w:rsidR="00827B2E">
        <w:rPr>
          <w:rFonts w:eastAsiaTheme="majorEastAsia" w:cstheme="majorBidi"/>
          <w:bCs/>
          <w:kern w:val="32"/>
        </w:rPr>
        <w:t xml:space="preserve"> In previous years, we have included data from the Durham Students’ Union Pincident. However, this was not used during the 2022/23 academic year. </w:t>
      </w:r>
    </w:p>
    <w:p w14:paraId="14B9B14C" w14:textId="77777777" w:rsidR="004056E6" w:rsidRPr="00990003" w:rsidRDefault="004056E6" w:rsidP="004056E6">
      <w:pPr>
        <w:pStyle w:val="TextunderNumbered"/>
        <w:numPr>
          <w:ilvl w:val="0"/>
          <w:numId w:val="0"/>
        </w:numPr>
        <w:shd w:val="clear" w:color="auto" w:fill="auto"/>
        <w:spacing w:before="240"/>
        <w:rPr>
          <w:b/>
        </w:rPr>
      </w:pPr>
      <w:r>
        <w:rPr>
          <w:noProof/>
        </w:rPr>
        <w:lastRenderedPageBreak/>
        <w:drawing>
          <wp:inline distT="0" distB="0" distL="0" distR="0" wp14:anchorId="7297619E" wp14:editId="6D920C3F">
            <wp:extent cx="6142990" cy="4319905"/>
            <wp:effectExtent l="0" t="0" r="10160" b="4445"/>
            <wp:docPr id="22" name="Chart 22">
              <a:extLst xmlns:a="http://schemas.openxmlformats.org/drawingml/2006/main">
                <a:ext uri="{FF2B5EF4-FFF2-40B4-BE49-F238E27FC236}">
                  <a16:creationId xmlns:a16="http://schemas.microsoft.com/office/drawing/2014/main" id="{0DDC24DC-F75B-76DD-D06F-E7C4676E83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F8FD8C2" w14:textId="3671912D" w:rsidR="004E025C" w:rsidRPr="004E025C" w:rsidRDefault="004056E6" w:rsidP="00B36169">
      <w:pPr>
        <w:pStyle w:val="TextunderNumbered"/>
        <w:numPr>
          <w:ilvl w:val="1"/>
          <w:numId w:val="17"/>
        </w:numPr>
        <w:shd w:val="clear" w:color="auto" w:fill="auto"/>
        <w:spacing w:before="240"/>
        <w:ind w:left="540" w:hanging="824"/>
      </w:pPr>
      <w:r w:rsidRPr="004E025C">
        <w:rPr>
          <w:rFonts w:eastAsiaTheme="majorEastAsia" w:cstheme="majorBidi"/>
          <w:bCs/>
          <w:kern w:val="32"/>
        </w:rPr>
        <w:t xml:space="preserve">Continuing with the trend that began in 2019/20, the most common reason victim-survivors chose to make an anonymous report was because </w:t>
      </w:r>
      <w:r w:rsidRPr="004E025C">
        <w:rPr>
          <w:rFonts w:eastAsiaTheme="majorEastAsia" w:cstheme="majorBidi"/>
          <w:b/>
          <w:kern w:val="32"/>
        </w:rPr>
        <w:t>‘I cannot prove the behaviour took place.’</w:t>
      </w:r>
      <w:r w:rsidRPr="004E025C">
        <w:rPr>
          <w:rFonts w:eastAsiaTheme="majorEastAsia" w:cstheme="majorBidi"/>
          <w:bCs/>
          <w:kern w:val="32"/>
        </w:rPr>
        <w:t xml:space="preserve"> </w:t>
      </w:r>
      <w:r w:rsidR="004E025C">
        <w:rPr>
          <w:rFonts w:eastAsiaTheme="majorEastAsia" w:cstheme="majorBidi"/>
          <w:bCs/>
          <w:kern w:val="32"/>
        </w:rPr>
        <w:t>M</w:t>
      </w:r>
      <w:r w:rsidR="004E025C" w:rsidRPr="004E025C">
        <w:rPr>
          <w:rFonts w:eastAsiaTheme="majorEastAsia" w:cstheme="majorBidi"/>
          <w:bCs/>
          <w:kern w:val="32"/>
        </w:rPr>
        <w:t xml:space="preserve">any individuals worry that SMV cases will be viewed as ‘he said/she said’ (or some variation) as most SMV occurs without witnesses present. </w:t>
      </w:r>
      <w:r w:rsidR="00827B2E" w:rsidRPr="004E025C">
        <w:rPr>
          <w:rFonts w:eastAsiaTheme="majorEastAsia" w:cstheme="majorBidi"/>
          <w:bCs/>
          <w:kern w:val="32"/>
        </w:rPr>
        <w:t>Section 2.1.5 of the</w:t>
      </w:r>
      <w:r w:rsidRPr="004E025C">
        <w:rPr>
          <w:rFonts w:eastAsiaTheme="majorEastAsia" w:cstheme="majorBidi"/>
          <w:bCs/>
          <w:kern w:val="32"/>
        </w:rPr>
        <w:t xml:space="preserve"> SMV Policy confirms University decisions are made using the civil standard of proof, the balance of probabilities, and the burden of proof is on the University, not the Reporting or Responding Party.</w:t>
      </w:r>
      <w:r w:rsidR="004E025C" w:rsidRPr="004E025C">
        <w:rPr>
          <w:rFonts w:eastAsiaTheme="majorEastAsia" w:cstheme="majorBidi"/>
          <w:bCs/>
          <w:kern w:val="32"/>
        </w:rPr>
        <w:t xml:space="preserve"> </w:t>
      </w:r>
      <w:r w:rsidR="004E025C">
        <w:rPr>
          <w:rFonts w:eastAsiaTheme="majorEastAsia" w:cstheme="majorBidi"/>
          <w:bCs/>
          <w:kern w:val="32"/>
        </w:rPr>
        <w:t xml:space="preserve">Investigations are rarely one person’s word against another, as they investigations are conducted to access as much evidence as possible. This can include digital data – texts, emails, social media, and videos, but also a range of different types of witnesses: 1) direct witnesses – individuals who observed the incident or activities surrounding the incident, 2) outcry witnesses – individuals who were told details of what happened by one or both parties, and 3) after-the-fact witnesses – individuals who observed the reactions or changes in behaviour by one or both parties (Humphreys &amp; Towl, 2020; Norcliffe &amp; Pescod, 2023). Consideration for increasing awareness of how investigations are conducted and the standard of proof that is used, may help reduce this barrier to reporting. </w:t>
      </w:r>
    </w:p>
    <w:p w14:paraId="76AAD6CE" w14:textId="2D361A0F" w:rsidR="004056E6" w:rsidRPr="00B33FA3" w:rsidRDefault="004E025C" w:rsidP="004056E6">
      <w:pPr>
        <w:pStyle w:val="TextunderNumbered"/>
        <w:numPr>
          <w:ilvl w:val="1"/>
          <w:numId w:val="17"/>
        </w:numPr>
        <w:shd w:val="clear" w:color="auto" w:fill="auto"/>
        <w:spacing w:before="240"/>
        <w:ind w:left="540" w:hanging="824"/>
      </w:pPr>
      <w:r>
        <w:rPr>
          <w:rFonts w:eastAsiaTheme="majorEastAsia" w:cstheme="majorBidi"/>
          <w:bCs/>
          <w:kern w:val="32"/>
        </w:rPr>
        <w:t>D</w:t>
      </w:r>
      <w:r w:rsidRPr="0078767C">
        <w:rPr>
          <w:rFonts w:eastAsiaTheme="majorEastAsia" w:cstheme="majorBidi"/>
          <w:bCs/>
          <w:kern w:val="32"/>
        </w:rPr>
        <w:t xml:space="preserve">uring the 2022/23 academic year, </w:t>
      </w:r>
      <w:r w:rsidRPr="00E96C61">
        <w:rPr>
          <w:rFonts w:eastAsiaTheme="majorEastAsia" w:cstheme="majorBidi"/>
          <w:b/>
          <w:kern w:val="32"/>
        </w:rPr>
        <w:t>‘I am worried the perpetrator would retaliate’</w:t>
      </w:r>
      <w:r w:rsidRPr="0078767C">
        <w:rPr>
          <w:rFonts w:eastAsiaTheme="majorEastAsia" w:cstheme="majorBidi"/>
          <w:bCs/>
          <w:kern w:val="32"/>
        </w:rPr>
        <w:t xml:space="preserve"> joined the top of the reasons for not making a named report which in the previous year (21/22) was listed 8</w:t>
      </w:r>
      <w:r w:rsidRPr="0078767C">
        <w:rPr>
          <w:rFonts w:eastAsiaTheme="majorEastAsia" w:cstheme="majorBidi"/>
          <w:bCs/>
          <w:kern w:val="32"/>
          <w:vertAlign w:val="superscript"/>
        </w:rPr>
        <w:t>th</w:t>
      </w:r>
      <w:r w:rsidRPr="0078767C">
        <w:rPr>
          <w:rFonts w:eastAsiaTheme="majorEastAsia" w:cstheme="majorBidi"/>
          <w:bCs/>
          <w:kern w:val="32"/>
        </w:rPr>
        <w:t xml:space="preserve">. </w:t>
      </w:r>
      <w:r w:rsidR="00827B2E">
        <w:rPr>
          <w:rFonts w:eastAsiaTheme="majorEastAsia" w:cstheme="majorBidi"/>
          <w:bCs/>
          <w:kern w:val="32"/>
        </w:rPr>
        <w:t>Section 4.5 of the</w:t>
      </w:r>
      <w:r w:rsidR="004056E6">
        <w:rPr>
          <w:rFonts w:eastAsiaTheme="majorEastAsia" w:cstheme="majorBidi"/>
          <w:bCs/>
          <w:kern w:val="32"/>
        </w:rPr>
        <w:t xml:space="preserve"> SMV Policy highlights that retaliation is not tolerated</w:t>
      </w:r>
      <w:r w:rsidR="00C515F5">
        <w:rPr>
          <w:rFonts w:eastAsiaTheme="majorEastAsia" w:cstheme="majorBidi"/>
          <w:bCs/>
          <w:kern w:val="32"/>
        </w:rPr>
        <w:t>,</w:t>
      </w:r>
      <w:r w:rsidR="00827B2E">
        <w:rPr>
          <w:rFonts w:eastAsiaTheme="majorEastAsia" w:cstheme="majorBidi"/>
          <w:bCs/>
          <w:kern w:val="32"/>
        </w:rPr>
        <w:t xml:space="preserve"> </w:t>
      </w:r>
      <w:r w:rsidR="004056E6">
        <w:rPr>
          <w:rFonts w:eastAsiaTheme="majorEastAsia" w:cstheme="majorBidi"/>
          <w:bCs/>
          <w:kern w:val="32"/>
        </w:rPr>
        <w:t xml:space="preserve">and Responding Parties are informed of this at the time they are notified of an investigation. However, because the University can only warn Responding Parties not to retaliate and respond if they do, this may not </w:t>
      </w:r>
      <w:r w:rsidR="00C515F5">
        <w:rPr>
          <w:rFonts w:eastAsiaTheme="majorEastAsia" w:cstheme="majorBidi"/>
          <w:bCs/>
          <w:kern w:val="32"/>
        </w:rPr>
        <w:t xml:space="preserve">be </w:t>
      </w:r>
      <w:r w:rsidR="004056E6" w:rsidRPr="00B33FA3">
        <w:rPr>
          <w:rFonts w:eastAsiaTheme="majorEastAsia" w:cstheme="majorBidi"/>
          <w:bCs/>
          <w:kern w:val="32"/>
        </w:rPr>
        <w:t>enough to mitigate Reporting Parties’ fear of retaliatio</w:t>
      </w:r>
      <w:r w:rsidR="00827B2E" w:rsidRPr="00B33FA3">
        <w:rPr>
          <w:rFonts w:eastAsiaTheme="majorEastAsia" w:cstheme="majorBidi"/>
          <w:bCs/>
          <w:kern w:val="32"/>
        </w:rPr>
        <w:t>n</w:t>
      </w:r>
      <w:r w:rsidR="004056E6" w:rsidRPr="00B33FA3">
        <w:rPr>
          <w:rFonts w:eastAsiaTheme="majorEastAsia" w:cstheme="majorBidi"/>
          <w:bCs/>
          <w:kern w:val="32"/>
        </w:rPr>
        <w:t xml:space="preserve">. </w:t>
      </w:r>
    </w:p>
    <w:p w14:paraId="718994E1" w14:textId="77777777" w:rsidR="00B33FA3" w:rsidRPr="00B33FA3" w:rsidRDefault="00B33FA3" w:rsidP="00B33FA3">
      <w:pPr>
        <w:pStyle w:val="TextunderNumbered"/>
        <w:numPr>
          <w:ilvl w:val="1"/>
          <w:numId w:val="17"/>
        </w:numPr>
        <w:shd w:val="clear" w:color="auto" w:fill="auto"/>
        <w:spacing w:before="240"/>
        <w:ind w:left="540" w:hanging="824"/>
      </w:pPr>
      <w:r w:rsidRPr="00B33FA3">
        <w:t xml:space="preserve">The University has a clear principle in the SMV Policy that we will respect the right of the individual disclosing an experience to choose how to take forward a Disclosure (2.1.4). However, it is very important to understand why students and staff choose not to report as this may help understand barriers to disclosing as well. </w:t>
      </w:r>
      <w:r w:rsidRPr="00B33FA3">
        <w:rPr>
          <w:rFonts w:eastAsiaTheme="majorEastAsia" w:cstheme="majorBidi"/>
          <w:bCs/>
          <w:kern w:val="32"/>
        </w:rPr>
        <w:t xml:space="preserve">In the SMV: Awareness and Disclosure Training (Level 1) and SMV: Disclosure and Awareness Training (Level 2) for staff, learners </w:t>
      </w:r>
      <w:r w:rsidRPr="00B33FA3">
        <w:rPr>
          <w:rFonts w:eastAsiaTheme="majorEastAsia" w:cstheme="majorBidi"/>
          <w:bCs/>
          <w:kern w:val="32"/>
        </w:rPr>
        <w:lastRenderedPageBreak/>
        <w:t xml:space="preserve">identify barriers to disclosures and consider ways to remove barriers in their local areas of the university for our diverse community of students and staff. </w:t>
      </w:r>
    </w:p>
    <w:p w14:paraId="0EE08F78" w14:textId="79B8A3F5" w:rsidR="00F12833" w:rsidRPr="00990003" w:rsidRDefault="009160D9" w:rsidP="00F82E0C">
      <w:pPr>
        <w:pStyle w:val="TextunderNumbered"/>
        <w:numPr>
          <w:ilvl w:val="0"/>
          <w:numId w:val="17"/>
        </w:numPr>
        <w:shd w:val="clear" w:color="auto" w:fill="auto"/>
        <w:ind w:hanging="502"/>
        <w:rPr>
          <w:b/>
        </w:rPr>
      </w:pPr>
      <w:r>
        <w:rPr>
          <w:b/>
        </w:rPr>
        <w:t xml:space="preserve">Formal </w:t>
      </w:r>
      <w:r w:rsidR="00F12833" w:rsidRPr="00990003">
        <w:rPr>
          <w:b/>
        </w:rPr>
        <w:t>Reports</w:t>
      </w:r>
    </w:p>
    <w:p w14:paraId="57A11AF7" w14:textId="77777777" w:rsidR="00E04BC6" w:rsidRPr="00990003" w:rsidRDefault="00E04BC6" w:rsidP="00E04BC6">
      <w:pPr>
        <w:pStyle w:val="TextunderNumbered"/>
        <w:numPr>
          <w:ilvl w:val="1"/>
          <w:numId w:val="17"/>
        </w:numPr>
        <w:shd w:val="clear" w:color="auto" w:fill="auto"/>
        <w:ind w:left="540" w:hanging="644"/>
      </w:pPr>
      <w:r w:rsidRPr="00990003">
        <w:t xml:space="preserve">This section provides information on </w:t>
      </w:r>
      <w:r>
        <w:t xml:space="preserve">formal </w:t>
      </w:r>
      <w:r w:rsidRPr="00990003">
        <w:rPr>
          <w:b/>
        </w:rPr>
        <w:t>reports</w:t>
      </w:r>
      <w:r w:rsidRPr="00990003">
        <w:t xml:space="preserve"> made to the University and/or Police and the actions the University took. </w:t>
      </w:r>
      <w:r w:rsidRPr="00990003">
        <w:rPr>
          <w:rFonts w:cs="Arial"/>
        </w:rPr>
        <w:t xml:space="preserve">A </w:t>
      </w:r>
      <w:r w:rsidRPr="00990003">
        <w:rPr>
          <w:rFonts w:cs="Arial"/>
          <w:bCs/>
        </w:rPr>
        <w:t>report</w:t>
      </w:r>
      <w:r w:rsidRPr="00990003">
        <w:rPr>
          <w:rFonts w:cs="Arial"/>
        </w:rPr>
        <w:t xml:space="preserve"> is the sharing of information with a staff member of the University regarding an incident experienced by that individual for the purposes of initiating the investigation process by the University, as set out in the SMV Policy (different from Disclosure and anonymous reports).</w:t>
      </w:r>
    </w:p>
    <w:p w14:paraId="2B436786" w14:textId="4187E4AD" w:rsidR="00F12833" w:rsidRPr="009160D9" w:rsidRDefault="00F12833" w:rsidP="00F82E0C">
      <w:pPr>
        <w:pStyle w:val="TextunderNumbered"/>
        <w:numPr>
          <w:ilvl w:val="1"/>
          <w:numId w:val="17"/>
        </w:numPr>
        <w:shd w:val="clear" w:color="auto" w:fill="auto"/>
        <w:ind w:left="540" w:hanging="644"/>
      </w:pPr>
      <w:r w:rsidRPr="009160D9">
        <w:rPr>
          <w:b/>
          <w:bCs/>
        </w:rPr>
        <w:t xml:space="preserve">Figure </w:t>
      </w:r>
      <w:r w:rsidR="00E96C61">
        <w:rPr>
          <w:b/>
          <w:bCs/>
        </w:rPr>
        <w:t>10</w:t>
      </w:r>
      <w:r w:rsidRPr="009160D9">
        <w:t xml:space="preserve"> illustrates how many disclosures and reports are made annually</w:t>
      </w:r>
      <w:r w:rsidR="00D702A8" w:rsidRPr="009160D9">
        <w:t xml:space="preserve"> comparing the last 5 years</w:t>
      </w:r>
      <w:r w:rsidRPr="009160D9">
        <w:t xml:space="preserve">. </w:t>
      </w:r>
      <w:r w:rsidR="00E04BC6">
        <w:t>There is</w:t>
      </w:r>
      <w:r w:rsidR="009160D9">
        <w:t xml:space="preserve"> an increase in disclosures and reports to the University each year as a continuing trend. Interestingly, </w:t>
      </w:r>
      <w:r w:rsidR="00542154">
        <w:t>there was a significant</w:t>
      </w:r>
      <w:r w:rsidR="009160D9">
        <w:t xml:space="preserve"> increase in reports to the Police during the 2022/23 academic year.</w:t>
      </w:r>
      <w:r w:rsidR="00542154">
        <w:t xml:space="preserve"> </w:t>
      </w:r>
      <w:r w:rsidR="00E04BC6">
        <w:t>Previously there was an average of</w:t>
      </w:r>
      <w:r w:rsidR="00542154">
        <w:t xml:space="preserve"> 23 reports to the police annually</w:t>
      </w:r>
      <w:r w:rsidR="00E04BC6">
        <w:t>. D</w:t>
      </w:r>
      <w:r w:rsidR="00542154">
        <w:t>uring the 2022/23 academic year</w:t>
      </w:r>
      <w:r w:rsidR="00E04BC6">
        <w:t>,</w:t>
      </w:r>
      <w:r w:rsidR="00542154">
        <w:t xml:space="preserve"> 72 reports to the police were made.</w:t>
      </w:r>
    </w:p>
    <w:p w14:paraId="686A82C7" w14:textId="5167CEFA" w:rsidR="00577C8C" w:rsidRDefault="0051139E" w:rsidP="00AA1746">
      <w:pPr>
        <w:pStyle w:val="TextunderNumbered"/>
        <w:numPr>
          <w:ilvl w:val="0"/>
          <w:numId w:val="0"/>
        </w:numPr>
        <w:shd w:val="clear" w:color="auto" w:fill="auto"/>
      </w:pPr>
      <w:r>
        <w:rPr>
          <w:noProof/>
        </w:rPr>
        <w:drawing>
          <wp:inline distT="0" distB="0" distL="0" distR="0" wp14:anchorId="167C1E32" wp14:editId="19E2887A">
            <wp:extent cx="6120765" cy="2880000"/>
            <wp:effectExtent l="0" t="0" r="13335" b="15875"/>
            <wp:docPr id="2" name="Chart 2">
              <a:extLst xmlns:a="http://schemas.openxmlformats.org/drawingml/2006/main">
                <a:ext uri="{FF2B5EF4-FFF2-40B4-BE49-F238E27FC236}">
                  <a16:creationId xmlns:a16="http://schemas.microsoft.com/office/drawing/2014/main" id="{95F8D7C6-14DC-4A4E-AF8C-4E70EDCAB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83F5666" w14:textId="11650EA2" w:rsidR="00B33FA3" w:rsidRPr="00B33FA3" w:rsidRDefault="004056E6" w:rsidP="004056E6">
      <w:pPr>
        <w:pStyle w:val="TextunderNumbered"/>
        <w:numPr>
          <w:ilvl w:val="1"/>
          <w:numId w:val="17"/>
        </w:numPr>
        <w:shd w:val="clear" w:color="auto" w:fill="auto"/>
        <w:spacing w:before="240"/>
        <w:ind w:left="540" w:hanging="824"/>
      </w:pPr>
      <w:r w:rsidRPr="00B33FA3">
        <w:t xml:space="preserve">As shown in </w:t>
      </w:r>
      <w:r w:rsidRPr="00B33FA3">
        <w:rPr>
          <w:b/>
          <w:bCs/>
        </w:rPr>
        <w:t xml:space="preserve">Figure </w:t>
      </w:r>
      <w:r w:rsidR="00E96C61" w:rsidRPr="00B33FA3">
        <w:rPr>
          <w:b/>
          <w:bCs/>
        </w:rPr>
        <w:t>10</w:t>
      </w:r>
      <w:r w:rsidRPr="00B33FA3">
        <w:t xml:space="preserve">, there continues to be a significant gap between disclosures and reports made to the Police and/or University. During the 2022/23 academic year, </w:t>
      </w:r>
      <w:r w:rsidR="00B33FA3" w:rsidRPr="00B33FA3">
        <w:rPr>
          <w:bCs/>
        </w:rPr>
        <w:t>63</w:t>
      </w:r>
      <w:r w:rsidRPr="00B33FA3">
        <w:t>% of those who disclosed SMV involving a Responding Party affiliated with the University</w:t>
      </w:r>
      <w:r w:rsidR="00E04BC6" w:rsidRPr="00B33FA3">
        <w:t xml:space="preserve"> (n=154) </w:t>
      </w:r>
      <w:r w:rsidRPr="00B33FA3">
        <w:t>also made a report to the University under the SMV Policy</w:t>
      </w:r>
      <w:r w:rsidR="00B33FA3" w:rsidRPr="00B33FA3">
        <w:t xml:space="preserve"> (n=97)</w:t>
      </w:r>
      <w:r w:rsidR="005E2528">
        <w:t>, of these 43% proceeded to an investigation</w:t>
      </w:r>
      <w:r w:rsidRPr="00B33FA3">
        <w:t>. This was</w:t>
      </w:r>
      <w:r w:rsidR="00B33FA3" w:rsidRPr="00B33FA3">
        <w:t xml:space="preserve"> a significant increase in</w:t>
      </w:r>
      <w:r w:rsidRPr="00B33FA3">
        <w:t xml:space="preserve"> the reporting rates for the previous year where 36% reported to the University following a disclosure. </w:t>
      </w:r>
    </w:p>
    <w:p w14:paraId="02ECE2D6" w14:textId="3C8A3D3D" w:rsidR="009160D9" w:rsidRPr="009160D9" w:rsidRDefault="009160D9" w:rsidP="009160D9">
      <w:pPr>
        <w:pStyle w:val="TextunderNumbered"/>
        <w:numPr>
          <w:ilvl w:val="1"/>
          <w:numId w:val="17"/>
        </w:numPr>
        <w:shd w:val="clear" w:color="auto" w:fill="auto"/>
        <w:ind w:left="540" w:hanging="644"/>
      </w:pPr>
      <w:r w:rsidRPr="009160D9">
        <w:rPr>
          <w:b/>
          <w:bCs/>
        </w:rPr>
        <w:t>Figure 1</w:t>
      </w:r>
      <w:r w:rsidR="00E96C61">
        <w:rPr>
          <w:b/>
          <w:bCs/>
        </w:rPr>
        <w:t>1</w:t>
      </w:r>
      <w:r w:rsidRPr="009160D9">
        <w:rPr>
          <w:b/>
          <w:bCs/>
        </w:rPr>
        <w:t xml:space="preserve"> </w:t>
      </w:r>
      <w:r w:rsidRPr="009160D9">
        <w:t xml:space="preserve">illustrates formal reports made to the University by month comparing the last three years. </w:t>
      </w:r>
      <w:r w:rsidR="00F1136C">
        <w:t>The aim of tracking this data is to try to predict when reports may be received. During the 2022/23 academic year, March (n=22) followed by January, May and June (n=11) saw the highest number of reports.</w:t>
      </w:r>
      <w:r w:rsidR="004056E6">
        <w:t xml:space="preserve"> However, this was not a trend seen in the previous years. </w:t>
      </w:r>
      <w:r w:rsidR="00F1136C">
        <w:t xml:space="preserve"> </w:t>
      </w:r>
    </w:p>
    <w:p w14:paraId="55D2D947" w14:textId="3C279ACD" w:rsidR="004C60B0" w:rsidRDefault="00C50A90" w:rsidP="00C50A90">
      <w:pPr>
        <w:pStyle w:val="TextunderNumbered"/>
        <w:numPr>
          <w:ilvl w:val="0"/>
          <w:numId w:val="0"/>
        </w:numPr>
        <w:shd w:val="clear" w:color="auto" w:fill="auto"/>
        <w:ind w:left="502" w:hanging="502"/>
        <w:rPr>
          <w:b/>
          <w:bCs/>
        </w:rPr>
      </w:pPr>
      <w:r>
        <w:rPr>
          <w:noProof/>
        </w:rPr>
        <w:lastRenderedPageBreak/>
        <w:drawing>
          <wp:inline distT="0" distB="0" distL="0" distR="0" wp14:anchorId="566A7F37" wp14:editId="344DC85A">
            <wp:extent cx="6120000" cy="2880000"/>
            <wp:effectExtent l="0" t="0" r="14605" b="15875"/>
            <wp:docPr id="4" name="Chart 4">
              <a:extLst xmlns:a="http://schemas.openxmlformats.org/drawingml/2006/main">
                <a:ext uri="{FF2B5EF4-FFF2-40B4-BE49-F238E27FC236}">
                  <a16:creationId xmlns:a16="http://schemas.microsoft.com/office/drawing/2014/main" id="{D692CD63-F100-AE20-2A7C-7CBEEF3B1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7CAD5B" w14:textId="77777777" w:rsidR="00921997" w:rsidRDefault="00921997" w:rsidP="00C50A90">
      <w:pPr>
        <w:pStyle w:val="TextunderNumbered"/>
        <w:numPr>
          <w:ilvl w:val="0"/>
          <w:numId w:val="0"/>
        </w:numPr>
        <w:shd w:val="clear" w:color="auto" w:fill="auto"/>
        <w:ind w:left="502" w:hanging="502"/>
        <w:rPr>
          <w:b/>
          <w:bCs/>
        </w:rPr>
      </w:pPr>
    </w:p>
    <w:p w14:paraId="1EBA3C40" w14:textId="5840A328" w:rsidR="00542154" w:rsidRPr="009160D9" w:rsidRDefault="00542154" w:rsidP="00542154">
      <w:pPr>
        <w:pStyle w:val="TextunderNumbered"/>
        <w:numPr>
          <w:ilvl w:val="1"/>
          <w:numId w:val="17"/>
        </w:numPr>
        <w:shd w:val="clear" w:color="auto" w:fill="auto"/>
        <w:ind w:left="540" w:hanging="644"/>
      </w:pPr>
      <w:r w:rsidRPr="009160D9">
        <w:rPr>
          <w:b/>
          <w:bCs/>
        </w:rPr>
        <w:t>Figure 1</w:t>
      </w:r>
      <w:r w:rsidR="00E96C61">
        <w:rPr>
          <w:b/>
          <w:bCs/>
        </w:rPr>
        <w:t>2</w:t>
      </w:r>
      <w:r w:rsidRPr="009160D9">
        <w:rPr>
          <w:b/>
          <w:bCs/>
        </w:rPr>
        <w:t xml:space="preserve"> </w:t>
      </w:r>
      <w:r w:rsidRPr="009160D9">
        <w:t>shows how many disclosures, anonymous reports</w:t>
      </w:r>
      <w:r w:rsidR="00F1136C">
        <w:t>,</w:t>
      </w:r>
      <w:r w:rsidRPr="009160D9">
        <w:t xml:space="preserve"> and named reports the University received during the 2022/23 academic year by month. </w:t>
      </w:r>
      <w:r w:rsidR="00F1136C">
        <w:t>This is information the Student Conduct Office will begin tracking as it helps understand busy periods for the team to respond to disclosures and reports. Unfortunately, the data for the month of incidents of SMV is not as easily tracked as disclosures may include multiple incidents spanning long periods of time or the date may not be disclosed at all.</w:t>
      </w:r>
    </w:p>
    <w:p w14:paraId="18FB5C86" w14:textId="25416281" w:rsidR="00F075B6" w:rsidRDefault="00C50A90" w:rsidP="00C50A90">
      <w:pPr>
        <w:pStyle w:val="TextunderNumbered"/>
        <w:numPr>
          <w:ilvl w:val="0"/>
          <w:numId w:val="0"/>
        </w:numPr>
        <w:shd w:val="clear" w:color="auto" w:fill="auto"/>
        <w:ind w:left="502" w:hanging="502"/>
        <w:rPr>
          <w:b/>
          <w:bCs/>
        </w:rPr>
      </w:pPr>
      <w:r>
        <w:rPr>
          <w:noProof/>
        </w:rPr>
        <w:drawing>
          <wp:inline distT="0" distB="0" distL="0" distR="0" wp14:anchorId="586CB273" wp14:editId="368FADE5">
            <wp:extent cx="6120000" cy="2880000"/>
            <wp:effectExtent l="0" t="0" r="14605" b="15875"/>
            <wp:docPr id="5" name="Chart 5">
              <a:extLst xmlns:a="http://schemas.openxmlformats.org/drawingml/2006/main">
                <a:ext uri="{FF2B5EF4-FFF2-40B4-BE49-F238E27FC236}">
                  <a16:creationId xmlns:a16="http://schemas.microsoft.com/office/drawing/2014/main" id="{D995DADE-28D3-6876-A265-CC7E4BD237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C9FC4CC" w14:textId="77777777" w:rsidR="00921997" w:rsidRDefault="00921997" w:rsidP="00C50A90">
      <w:pPr>
        <w:pStyle w:val="TextunderNumbered"/>
        <w:numPr>
          <w:ilvl w:val="0"/>
          <w:numId w:val="0"/>
        </w:numPr>
        <w:shd w:val="clear" w:color="auto" w:fill="auto"/>
        <w:ind w:left="502" w:hanging="502"/>
        <w:rPr>
          <w:b/>
          <w:bCs/>
        </w:rPr>
      </w:pPr>
    </w:p>
    <w:p w14:paraId="07A24CF9" w14:textId="09793378" w:rsidR="00542154" w:rsidRPr="00542154" w:rsidRDefault="00542154" w:rsidP="00542154">
      <w:pPr>
        <w:pStyle w:val="TextunderNumbered"/>
        <w:numPr>
          <w:ilvl w:val="1"/>
          <w:numId w:val="17"/>
        </w:numPr>
        <w:shd w:val="clear" w:color="auto" w:fill="auto"/>
        <w:ind w:left="426" w:hanging="568"/>
      </w:pPr>
      <w:r w:rsidRPr="00542154">
        <w:rPr>
          <w:b/>
          <w:bCs/>
        </w:rPr>
        <w:t>Table 4</w:t>
      </w:r>
      <w:r w:rsidRPr="009160D9">
        <w:t xml:space="preserve"> shows that most incidents reported </w:t>
      </w:r>
      <w:r w:rsidR="004056E6">
        <w:t>involve students only.</w:t>
      </w:r>
      <w:r w:rsidRPr="009160D9">
        <w:t xml:space="preserve"> </w:t>
      </w:r>
    </w:p>
    <w:tbl>
      <w:tblPr>
        <w:tblStyle w:val="TableGrid"/>
        <w:tblW w:w="5000" w:type="pct"/>
        <w:tblLook w:val="04A0" w:firstRow="1" w:lastRow="0" w:firstColumn="1" w:lastColumn="0" w:noHBand="0" w:noVBand="1"/>
      </w:tblPr>
      <w:tblGrid>
        <w:gridCol w:w="1381"/>
        <w:gridCol w:w="1641"/>
        <w:gridCol w:w="520"/>
        <w:gridCol w:w="551"/>
        <w:gridCol w:w="589"/>
        <w:gridCol w:w="530"/>
        <w:gridCol w:w="535"/>
        <w:gridCol w:w="591"/>
        <w:gridCol w:w="518"/>
        <w:gridCol w:w="539"/>
        <w:gridCol w:w="589"/>
        <w:gridCol w:w="495"/>
        <w:gridCol w:w="495"/>
        <w:gridCol w:w="655"/>
      </w:tblGrid>
      <w:tr w:rsidR="00F12833" w:rsidRPr="00990003" w14:paraId="5E7AD4C3" w14:textId="77777777" w:rsidTr="002A0835">
        <w:trPr>
          <w:trHeight w:val="340"/>
        </w:trPr>
        <w:tc>
          <w:tcPr>
            <w:tcW w:w="5000" w:type="pct"/>
            <w:gridSpan w:val="14"/>
            <w:shd w:val="clear" w:color="auto" w:fill="B2A1C7" w:themeFill="accent4" w:themeFillTint="99"/>
          </w:tcPr>
          <w:p w14:paraId="77BE66CE" w14:textId="4E4E16C3" w:rsidR="00F12833" w:rsidRPr="00990003" w:rsidRDefault="00F12833" w:rsidP="002A0835">
            <w:pPr>
              <w:rPr>
                <w:rFonts w:cs="Arial"/>
                <w:b/>
                <w:sz w:val="20"/>
                <w:szCs w:val="20"/>
              </w:rPr>
            </w:pPr>
            <w:r w:rsidRPr="00990003">
              <w:rPr>
                <w:rFonts w:cs="Arial"/>
                <w:b/>
                <w:sz w:val="20"/>
                <w:szCs w:val="20"/>
              </w:rPr>
              <w:t xml:space="preserve">Table 4. Reports made to the University under the SMV Policy during the </w:t>
            </w:r>
            <w:r w:rsidR="00D16698">
              <w:rPr>
                <w:rFonts w:cs="Arial"/>
                <w:b/>
                <w:sz w:val="20"/>
                <w:szCs w:val="20"/>
              </w:rPr>
              <w:t>2022/23</w:t>
            </w:r>
            <w:r w:rsidRPr="00990003">
              <w:rPr>
                <w:rFonts w:cs="Arial"/>
                <w:b/>
                <w:sz w:val="20"/>
                <w:szCs w:val="20"/>
              </w:rPr>
              <w:t xml:space="preserve"> Academic Year</w:t>
            </w:r>
          </w:p>
        </w:tc>
      </w:tr>
      <w:tr w:rsidR="00F12833" w:rsidRPr="00990003" w14:paraId="236C7A2B" w14:textId="77777777" w:rsidTr="002A0835">
        <w:trPr>
          <w:trHeight w:val="340"/>
        </w:trPr>
        <w:tc>
          <w:tcPr>
            <w:tcW w:w="717" w:type="pct"/>
            <w:vMerge w:val="restart"/>
            <w:vAlign w:val="center"/>
          </w:tcPr>
          <w:p w14:paraId="29411448" w14:textId="77777777" w:rsidR="00F12833" w:rsidRPr="00990003" w:rsidRDefault="00F12833" w:rsidP="002A0835">
            <w:pPr>
              <w:jc w:val="left"/>
              <w:rPr>
                <w:rFonts w:cs="Arial"/>
                <w:b/>
                <w:sz w:val="20"/>
                <w:szCs w:val="20"/>
              </w:rPr>
            </w:pPr>
            <w:r w:rsidRPr="00990003">
              <w:rPr>
                <w:rFonts w:cs="Arial"/>
                <w:b/>
                <w:sz w:val="20"/>
                <w:szCs w:val="20"/>
              </w:rPr>
              <w:t>Academic Year</w:t>
            </w:r>
          </w:p>
        </w:tc>
        <w:tc>
          <w:tcPr>
            <w:tcW w:w="852" w:type="pct"/>
          </w:tcPr>
          <w:p w14:paraId="40B3E706" w14:textId="77777777" w:rsidR="00F12833" w:rsidRPr="00990003" w:rsidRDefault="00F12833" w:rsidP="002A0835">
            <w:pPr>
              <w:rPr>
                <w:rFonts w:cs="Arial"/>
                <w:b/>
                <w:sz w:val="20"/>
                <w:szCs w:val="20"/>
              </w:rPr>
            </w:pPr>
            <w:r w:rsidRPr="00990003">
              <w:rPr>
                <w:rFonts w:cs="Arial"/>
                <w:b/>
                <w:sz w:val="20"/>
                <w:szCs w:val="20"/>
              </w:rPr>
              <w:t xml:space="preserve">Reporting Party </w:t>
            </w:r>
          </w:p>
        </w:tc>
        <w:tc>
          <w:tcPr>
            <w:tcW w:w="862" w:type="pct"/>
            <w:gridSpan w:val="3"/>
            <w:shd w:val="clear" w:color="auto" w:fill="E5DFEC" w:themeFill="accent4" w:themeFillTint="33"/>
            <w:vAlign w:val="center"/>
          </w:tcPr>
          <w:p w14:paraId="50B294FD" w14:textId="77777777" w:rsidR="00F12833" w:rsidRPr="00990003" w:rsidRDefault="00F12833" w:rsidP="002A0835">
            <w:pPr>
              <w:jc w:val="center"/>
              <w:rPr>
                <w:rFonts w:cs="Arial"/>
                <w:b/>
                <w:sz w:val="20"/>
                <w:szCs w:val="20"/>
              </w:rPr>
            </w:pPr>
            <w:r w:rsidRPr="00990003">
              <w:rPr>
                <w:rFonts w:cs="Arial"/>
                <w:b/>
                <w:sz w:val="20"/>
                <w:szCs w:val="20"/>
              </w:rPr>
              <w:t>Student</w:t>
            </w:r>
          </w:p>
        </w:tc>
        <w:tc>
          <w:tcPr>
            <w:tcW w:w="860" w:type="pct"/>
            <w:gridSpan w:val="3"/>
            <w:vAlign w:val="center"/>
          </w:tcPr>
          <w:p w14:paraId="6E0A9682" w14:textId="77777777" w:rsidR="00F12833" w:rsidRPr="00990003" w:rsidRDefault="00F12833" w:rsidP="002A0835">
            <w:pPr>
              <w:jc w:val="center"/>
              <w:rPr>
                <w:rFonts w:cs="Arial"/>
                <w:b/>
                <w:sz w:val="20"/>
                <w:szCs w:val="20"/>
              </w:rPr>
            </w:pPr>
            <w:r w:rsidRPr="00990003">
              <w:rPr>
                <w:rFonts w:cs="Arial"/>
                <w:b/>
                <w:sz w:val="20"/>
                <w:szCs w:val="20"/>
              </w:rPr>
              <w:t>Student</w:t>
            </w:r>
          </w:p>
        </w:tc>
        <w:tc>
          <w:tcPr>
            <w:tcW w:w="855" w:type="pct"/>
            <w:gridSpan w:val="3"/>
            <w:shd w:val="clear" w:color="auto" w:fill="E5DFEC" w:themeFill="accent4" w:themeFillTint="33"/>
            <w:vAlign w:val="center"/>
          </w:tcPr>
          <w:p w14:paraId="273CE8F2" w14:textId="77777777" w:rsidR="00F12833" w:rsidRPr="00990003" w:rsidRDefault="00F12833" w:rsidP="002A0835">
            <w:pPr>
              <w:jc w:val="center"/>
              <w:rPr>
                <w:rFonts w:cs="Arial"/>
                <w:b/>
                <w:sz w:val="20"/>
                <w:szCs w:val="20"/>
              </w:rPr>
            </w:pPr>
            <w:r w:rsidRPr="00990003">
              <w:rPr>
                <w:rFonts w:cs="Arial"/>
                <w:b/>
                <w:sz w:val="20"/>
                <w:szCs w:val="20"/>
              </w:rPr>
              <w:t>Staff</w:t>
            </w:r>
          </w:p>
        </w:tc>
        <w:tc>
          <w:tcPr>
            <w:tcW w:w="854" w:type="pct"/>
            <w:gridSpan w:val="3"/>
            <w:vAlign w:val="center"/>
          </w:tcPr>
          <w:p w14:paraId="66C15F28" w14:textId="77777777" w:rsidR="00F12833" w:rsidRPr="00990003" w:rsidRDefault="00F12833" w:rsidP="002A0835">
            <w:pPr>
              <w:jc w:val="center"/>
              <w:rPr>
                <w:rFonts w:cs="Arial"/>
                <w:b/>
                <w:sz w:val="20"/>
                <w:szCs w:val="20"/>
              </w:rPr>
            </w:pPr>
            <w:r w:rsidRPr="00990003">
              <w:rPr>
                <w:rFonts w:cs="Arial"/>
                <w:b/>
                <w:sz w:val="20"/>
                <w:szCs w:val="20"/>
              </w:rPr>
              <w:t>Staff</w:t>
            </w:r>
          </w:p>
        </w:tc>
      </w:tr>
      <w:tr w:rsidR="00F12833" w:rsidRPr="00990003" w14:paraId="1AB09C99" w14:textId="77777777" w:rsidTr="002A0835">
        <w:trPr>
          <w:trHeight w:val="340"/>
        </w:trPr>
        <w:tc>
          <w:tcPr>
            <w:tcW w:w="717" w:type="pct"/>
            <w:vMerge/>
          </w:tcPr>
          <w:p w14:paraId="13978809" w14:textId="77777777" w:rsidR="00F12833" w:rsidRPr="00990003" w:rsidRDefault="00F12833" w:rsidP="002A0835">
            <w:pPr>
              <w:rPr>
                <w:rFonts w:cs="Arial"/>
                <w:b/>
                <w:sz w:val="20"/>
                <w:szCs w:val="20"/>
              </w:rPr>
            </w:pPr>
          </w:p>
        </w:tc>
        <w:tc>
          <w:tcPr>
            <w:tcW w:w="852" w:type="pct"/>
          </w:tcPr>
          <w:p w14:paraId="374A6E87" w14:textId="77777777" w:rsidR="00F12833" w:rsidRPr="00990003" w:rsidRDefault="00F12833" w:rsidP="002A0835">
            <w:pPr>
              <w:rPr>
                <w:rFonts w:cs="Arial"/>
                <w:b/>
                <w:sz w:val="20"/>
                <w:szCs w:val="20"/>
              </w:rPr>
            </w:pPr>
            <w:r w:rsidRPr="00990003">
              <w:rPr>
                <w:rFonts w:cs="Arial"/>
                <w:b/>
                <w:sz w:val="20"/>
                <w:szCs w:val="20"/>
              </w:rPr>
              <w:t xml:space="preserve">Responding Party </w:t>
            </w:r>
          </w:p>
        </w:tc>
        <w:tc>
          <w:tcPr>
            <w:tcW w:w="862" w:type="pct"/>
            <w:gridSpan w:val="3"/>
            <w:shd w:val="clear" w:color="auto" w:fill="E5DFEC" w:themeFill="accent4" w:themeFillTint="33"/>
            <w:vAlign w:val="center"/>
          </w:tcPr>
          <w:p w14:paraId="3D7EFFCB" w14:textId="77777777" w:rsidR="00F12833" w:rsidRPr="00990003" w:rsidRDefault="00F12833" w:rsidP="002A0835">
            <w:pPr>
              <w:jc w:val="center"/>
              <w:rPr>
                <w:rFonts w:cs="Arial"/>
                <w:b/>
                <w:sz w:val="20"/>
                <w:szCs w:val="20"/>
              </w:rPr>
            </w:pPr>
            <w:r w:rsidRPr="00990003">
              <w:rPr>
                <w:rFonts w:cs="Arial"/>
                <w:b/>
                <w:sz w:val="20"/>
                <w:szCs w:val="20"/>
              </w:rPr>
              <w:t>Student</w:t>
            </w:r>
          </w:p>
        </w:tc>
        <w:tc>
          <w:tcPr>
            <w:tcW w:w="860" w:type="pct"/>
            <w:gridSpan w:val="3"/>
            <w:vAlign w:val="center"/>
          </w:tcPr>
          <w:p w14:paraId="4C27E4EA" w14:textId="77777777" w:rsidR="00F12833" w:rsidRPr="00990003" w:rsidRDefault="00F12833" w:rsidP="002A0835">
            <w:pPr>
              <w:jc w:val="center"/>
              <w:rPr>
                <w:rFonts w:cs="Arial"/>
                <w:b/>
                <w:sz w:val="20"/>
                <w:szCs w:val="20"/>
              </w:rPr>
            </w:pPr>
            <w:r w:rsidRPr="00990003">
              <w:rPr>
                <w:rFonts w:cs="Arial"/>
                <w:b/>
                <w:sz w:val="20"/>
                <w:szCs w:val="20"/>
              </w:rPr>
              <w:t>Staff</w:t>
            </w:r>
          </w:p>
        </w:tc>
        <w:tc>
          <w:tcPr>
            <w:tcW w:w="855" w:type="pct"/>
            <w:gridSpan w:val="3"/>
            <w:shd w:val="clear" w:color="auto" w:fill="E5DFEC" w:themeFill="accent4" w:themeFillTint="33"/>
            <w:vAlign w:val="center"/>
          </w:tcPr>
          <w:p w14:paraId="3185BA81" w14:textId="77777777" w:rsidR="00F12833" w:rsidRPr="00990003" w:rsidRDefault="00F12833" w:rsidP="002A0835">
            <w:pPr>
              <w:jc w:val="center"/>
              <w:rPr>
                <w:rFonts w:cs="Arial"/>
                <w:b/>
                <w:sz w:val="20"/>
                <w:szCs w:val="20"/>
              </w:rPr>
            </w:pPr>
            <w:r w:rsidRPr="00990003">
              <w:rPr>
                <w:rFonts w:cs="Arial"/>
                <w:b/>
                <w:sz w:val="20"/>
                <w:szCs w:val="20"/>
              </w:rPr>
              <w:t>Student</w:t>
            </w:r>
          </w:p>
        </w:tc>
        <w:tc>
          <w:tcPr>
            <w:tcW w:w="854" w:type="pct"/>
            <w:gridSpan w:val="3"/>
            <w:vAlign w:val="center"/>
          </w:tcPr>
          <w:p w14:paraId="7250A401" w14:textId="77777777" w:rsidR="00F12833" w:rsidRPr="00990003" w:rsidRDefault="00F12833" w:rsidP="002A0835">
            <w:pPr>
              <w:jc w:val="center"/>
              <w:rPr>
                <w:rFonts w:cs="Arial"/>
                <w:b/>
                <w:sz w:val="20"/>
                <w:szCs w:val="20"/>
              </w:rPr>
            </w:pPr>
            <w:r w:rsidRPr="00990003">
              <w:rPr>
                <w:rFonts w:cs="Arial"/>
                <w:b/>
                <w:sz w:val="20"/>
                <w:szCs w:val="20"/>
              </w:rPr>
              <w:t>Staff</w:t>
            </w:r>
          </w:p>
        </w:tc>
      </w:tr>
      <w:tr w:rsidR="00F12833" w:rsidRPr="00990003" w14:paraId="7D808153" w14:textId="77777777" w:rsidTr="002A0835">
        <w:trPr>
          <w:trHeight w:val="126"/>
        </w:trPr>
        <w:tc>
          <w:tcPr>
            <w:tcW w:w="5000" w:type="pct"/>
            <w:gridSpan w:val="14"/>
            <w:shd w:val="clear" w:color="auto" w:fill="B2A1C7" w:themeFill="accent4" w:themeFillTint="99"/>
          </w:tcPr>
          <w:p w14:paraId="04745228" w14:textId="77777777" w:rsidR="00F12833" w:rsidRPr="00990003" w:rsidRDefault="00F12833" w:rsidP="002A0835">
            <w:pPr>
              <w:rPr>
                <w:rFonts w:cs="Arial"/>
                <w:sz w:val="8"/>
                <w:szCs w:val="20"/>
              </w:rPr>
            </w:pPr>
          </w:p>
        </w:tc>
      </w:tr>
      <w:tr w:rsidR="00F12833" w:rsidRPr="00990003" w14:paraId="00B5ACBD" w14:textId="77777777" w:rsidTr="002A0835">
        <w:trPr>
          <w:trHeight w:val="340"/>
        </w:trPr>
        <w:tc>
          <w:tcPr>
            <w:tcW w:w="717" w:type="pct"/>
            <w:vMerge w:val="restart"/>
            <w:vAlign w:val="center"/>
          </w:tcPr>
          <w:p w14:paraId="45EE4137" w14:textId="74C8542E" w:rsidR="00F12833" w:rsidRPr="00990003" w:rsidRDefault="00577C8C" w:rsidP="002A0835">
            <w:pPr>
              <w:jc w:val="left"/>
              <w:rPr>
                <w:rFonts w:cs="Arial"/>
                <w:b/>
                <w:sz w:val="20"/>
                <w:szCs w:val="20"/>
              </w:rPr>
            </w:pPr>
            <w:r w:rsidRPr="00990003">
              <w:rPr>
                <w:rFonts w:cs="Arial"/>
                <w:b/>
                <w:sz w:val="20"/>
                <w:szCs w:val="20"/>
              </w:rPr>
              <w:lastRenderedPageBreak/>
              <w:t>2021-2022</w:t>
            </w:r>
          </w:p>
        </w:tc>
        <w:tc>
          <w:tcPr>
            <w:tcW w:w="852" w:type="pct"/>
            <w:vAlign w:val="center"/>
          </w:tcPr>
          <w:p w14:paraId="6048C2C1" w14:textId="77777777" w:rsidR="00F12833" w:rsidRPr="00990003" w:rsidRDefault="00F12833" w:rsidP="002A0835">
            <w:pPr>
              <w:jc w:val="left"/>
              <w:rPr>
                <w:rFonts w:cs="Arial"/>
                <w:b/>
                <w:sz w:val="20"/>
                <w:szCs w:val="20"/>
              </w:rPr>
            </w:pPr>
            <w:r w:rsidRPr="00990003">
              <w:rPr>
                <w:rFonts w:cs="Arial"/>
                <w:b/>
                <w:sz w:val="20"/>
                <w:szCs w:val="20"/>
              </w:rPr>
              <w:t>Gender</w:t>
            </w:r>
          </w:p>
        </w:tc>
        <w:tc>
          <w:tcPr>
            <w:tcW w:w="270" w:type="pct"/>
            <w:shd w:val="clear" w:color="auto" w:fill="E5DFEC" w:themeFill="accent4" w:themeFillTint="33"/>
            <w:vAlign w:val="center"/>
          </w:tcPr>
          <w:p w14:paraId="626455E8" w14:textId="77777777" w:rsidR="00F12833" w:rsidRPr="00990003" w:rsidRDefault="00F12833" w:rsidP="002A0835">
            <w:pPr>
              <w:jc w:val="center"/>
              <w:rPr>
                <w:rFonts w:cs="Arial"/>
                <w:b/>
                <w:sz w:val="20"/>
                <w:szCs w:val="20"/>
              </w:rPr>
            </w:pPr>
            <w:r w:rsidRPr="00990003">
              <w:rPr>
                <w:rFonts w:cs="Arial"/>
                <w:b/>
                <w:sz w:val="20"/>
                <w:szCs w:val="20"/>
              </w:rPr>
              <w:t>M</w:t>
            </w:r>
          </w:p>
        </w:tc>
        <w:tc>
          <w:tcPr>
            <w:tcW w:w="286" w:type="pct"/>
            <w:shd w:val="clear" w:color="auto" w:fill="E5DFEC" w:themeFill="accent4" w:themeFillTint="33"/>
            <w:vAlign w:val="center"/>
          </w:tcPr>
          <w:p w14:paraId="3E407F6C" w14:textId="77777777" w:rsidR="00F12833" w:rsidRPr="00990003" w:rsidRDefault="00F12833" w:rsidP="002A0835">
            <w:pPr>
              <w:jc w:val="center"/>
              <w:rPr>
                <w:rFonts w:cs="Arial"/>
                <w:b/>
                <w:sz w:val="20"/>
                <w:szCs w:val="20"/>
              </w:rPr>
            </w:pPr>
            <w:r w:rsidRPr="00990003">
              <w:rPr>
                <w:rFonts w:cs="Arial"/>
                <w:b/>
                <w:sz w:val="20"/>
                <w:szCs w:val="20"/>
              </w:rPr>
              <w:t>W</w:t>
            </w:r>
          </w:p>
        </w:tc>
        <w:tc>
          <w:tcPr>
            <w:tcW w:w="306" w:type="pct"/>
            <w:shd w:val="clear" w:color="auto" w:fill="E5DFEC" w:themeFill="accent4" w:themeFillTint="33"/>
            <w:vAlign w:val="center"/>
          </w:tcPr>
          <w:p w14:paraId="4B65196A" w14:textId="77777777" w:rsidR="00F12833" w:rsidRPr="00990003" w:rsidRDefault="00F12833" w:rsidP="002A0835">
            <w:pPr>
              <w:jc w:val="center"/>
              <w:rPr>
                <w:rFonts w:cs="Arial"/>
                <w:b/>
                <w:sz w:val="20"/>
                <w:szCs w:val="20"/>
              </w:rPr>
            </w:pPr>
            <w:r w:rsidRPr="00990003">
              <w:rPr>
                <w:rFonts w:cs="Arial"/>
                <w:b/>
                <w:sz w:val="20"/>
                <w:szCs w:val="20"/>
              </w:rPr>
              <w:t>NB</w:t>
            </w:r>
          </w:p>
        </w:tc>
        <w:tc>
          <w:tcPr>
            <w:tcW w:w="275" w:type="pct"/>
            <w:vAlign w:val="center"/>
          </w:tcPr>
          <w:p w14:paraId="008CE6C8" w14:textId="77777777" w:rsidR="00F12833" w:rsidRPr="00990003" w:rsidRDefault="00F12833" w:rsidP="002A0835">
            <w:pPr>
              <w:jc w:val="center"/>
              <w:rPr>
                <w:rFonts w:cs="Arial"/>
                <w:b/>
                <w:sz w:val="20"/>
                <w:szCs w:val="20"/>
              </w:rPr>
            </w:pPr>
            <w:r w:rsidRPr="00990003">
              <w:rPr>
                <w:rFonts w:cs="Arial"/>
                <w:b/>
                <w:sz w:val="20"/>
                <w:szCs w:val="20"/>
              </w:rPr>
              <w:t>M</w:t>
            </w:r>
          </w:p>
        </w:tc>
        <w:tc>
          <w:tcPr>
            <w:tcW w:w="278" w:type="pct"/>
            <w:vAlign w:val="center"/>
          </w:tcPr>
          <w:p w14:paraId="387E3004" w14:textId="77777777" w:rsidR="00F12833" w:rsidRPr="00990003" w:rsidRDefault="00F12833" w:rsidP="002A0835">
            <w:pPr>
              <w:jc w:val="center"/>
              <w:rPr>
                <w:rFonts w:cs="Arial"/>
                <w:b/>
                <w:sz w:val="20"/>
                <w:szCs w:val="20"/>
              </w:rPr>
            </w:pPr>
            <w:r w:rsidRPr="00990003">
              <w:rPr>
                <w:rFonts w:cs="Arial"/>
                <w:b/>
                <w:sz w:val="20"/>
                <w:szCs w:val="20"/>
              </w:rPr>
              <w:t>W</w:t>
            </w:r>
          </w:p>
        </w:tc>
        <w:tc>
          <w:tcPr>
            <w:tcW w:w="307" w:type="pct"/>
            <w:vAlign w:val="center"/>
          </w:tcPr>
          <w:p w14:paraId="5C04ED7B" w14:textId="77777777" w:rsidR="00F12833" w:rsidRPr="00990003" w:rsidRDefault="00F12833" w:rsidP="002A0835">
            <w:pPr>
              <w:jc w:val="center"/>
              <w:rPr>
                <w:rFonts w:cs="Arial"/>
                <w:b/>
                <w:sz w:val="20"/>
                <w:szCs w:val="20"/>
              </w:rPr>
            </w:pPr>
            <w:r w:rsidRPr="00990003">
              <w:rPr>
                <w:rFonts w:cs="Arial"/>
                <w:b/>
                <w:sz w:val="20"/>
                <w:szCs w:val="20"/>
              </w:rPr>
              <w:t>NB</w:t>
            </w:r>
          </w:p>
        </w:tc>
        <w:tc>
          <w:tcPr>
            <w:tcW w:w="269" w:type="pct"/>
            <w:shd w:val="clear" w:color="auto" w:fill="E5DFEC" w:themeFill="accent4" w:themeFillTint="33"/>
            <w:vAlign w:val="center"/>
          </w:tcPr>
          <w:p w14:paraId="44177FCB" w14:textId="77777777" w:rsidR="00F12833" w:rsidRPr="00990003" w:rsidRDefault="00F12833" w:rsidP="002A0835">
            <w:pPr>
              <w:jc w:val="center"/>
              <w:rPr>
                <w:rFonts w:cs="Arial"/>
                <w:b/>
                <w:sz w:val="20"/>
                <w:szCs w:val="20"/>
              </w:rPr>
            </w:pPr>
            <w:r w:rsidRPr="00990003">
              <w:rPr>
                <w:rFonts w:cs="Arial"/>
                <w:b/>
                <w:sz w:val="20"/>
                <w:szCs w:val="20"/>
              </w:rPr>
              <w:t>M</w:t>
            </w:r>
          </w:p>
        </w:tc>
        <w:tc>
          <w:tcPr>
            <w:tcW w:w="280" w:type="pct"/>
            <w:shd w:val="clear" w:color="auto" w:fill="E5DFEC" w:themeFill="accent4" w:themeFillTint="33"/>
            <w:vAlign w:val="center"/>
          </w:tcPr>
          <w:p w14:paraId="548E6F1A" w14:textId="77777777" w:rsidR="00F12833" w:rsidRPr="00990003" w:rsidRDefault="00F12833" w:rsidP="002A0835">
            <w:pPr>
              <w:jc w:val="center"/>
              <w:rPr>
                <w:rFonts w:cs="Arial"/>
                <w:b/>
                <w:sz w:val="20"/>
                <w:szCs w:val="20"/>
              </w:rPr>
            </w:pPr>
            <w:r w:rsidRPr="00990003">
              <w:rPr>
                <w:rFonts w:cs="Arial"/>
                <w:b/>
                <w:sz w:val="20"/>
                <w:szCs w:val="20"/>
              </w:rPr>
              <w:t>W</w:t>
            </w:r>
          </w:p>
        </w:tc>
        <w:tc>
          <w:tcPr>
            <w:tcW w:w="306" w:type="pct"/>
            <w:shd w:val="clear" w:color="auto" w:fill="E5DFEC" w:themeFill="accent4" w:themeFillTint="33"/>
            <w:vAlign w:val="center"/>
          </w:tcPr>
          <w:p w14:paraId="774928E9" w14:textId="77777777" w:rsidR="00F12833" w:rsidRPr="00990003" w:rsidRDefault="00F12833" w:rsidP="002A0835">
            <w:pPr>
              <w:jc w:val="center"/>
              <w:rPr>
                <w:rFonts w:cs="Arial"/>
                <w:b/>
                <w:sz w:val="20"/>
                <w:szCs w:val="20"/>
              </w:rPr>
            </w:pPr>
            <w:r w:rsidRPr="00990003">
              <w:rPr>
                <w:rFonts w:cs="Arial"/>
                <w:b/>
                <w:sz w:val="20"/>
                <w:szCs w:val="20"/>
              </w:rPr>
              <w:t>NB</w:t>
            </w:r>
          </w:p>
        </w:tc>
        <w:tc>
          <w:tcPr>
            <w:tcW w:w="257" w:type="pct"/>
            <w:vAlign w:val="center"/>
          </w:tcPr>
          <w:p w14:paraId="4CB36522" w14:textId="77777777" w:rsidR="00F12833" w:rsidRPr="00990003" w:rsidRDefault="00F12833" w:rsidP="002A0835">
            <w:pPr>
              <w:jc w:val="center"/>
              <w:rPr>
                <w:rFonts w:cs="Arial"/>
                <w:b/>
                <w:sz w:val="20"/>
                <w:szCs w:val="20"/>
              </w:rPr>
            </w:pPr>
            <w:r w:rsidRPr="00990003">
              <w:rPr>
                <w:rFonts w:cs="Arial"/>
                <w:b/>
                <w:sz w:val="20"/>
                <w:szCs w:val="20"/>
              </w:rPr>
              <w:t>M</w:t>
            </w:r>
          </w:p>
        </w:tc>
        <w:tc>
          <w:tcPr>
            <w:tcW w:w="257" w:type="pct"/>
            <w:vAlign w:val="center"/>
          </w:tcPr>
          <w:p w14:paraId="193BB82C" w14:textId="77777777" w:rsidR="00F12833" w:rsidRPr="00990003" w:rsidRDefault="00F12833" w:rsidP="002A0835">
            <w:pPr>
              <w:jc w:val="center"/>
              <w:rPr>
                <w:rFonts w:cs="Arial"/>
                <w:b/>
                <w:sz w:val="20"/>
                <w:szCs w:val="20"/>
              </w:rPr>
            </w:pPr>
            <w:r w:rsidRPr="00990003">
              <w:rPr>
                <w:rFonts w:cs="Arial"/>
                <w:b/>
                <w:sz w:val="20"/>
                <w:szCs w:val="20"/>
              </w:rPr>
              <w:t>W</w:t>
            </w:r>
          </w:p>
        </w:tc>
        <w:tc>
          <w:tcPr>
            <w:tcW w:w="340" w:type="pct"/>
            <w:vAlign w:val="center"/>
          </w:tcPr>
          <w:p w14:paraId="23153C43" w14:textId="77777777" w:rsidR="00F12833" w:rsidRPr="00990003" w:rsidRDefault="00F12833" w:rsidP="002A0835">
            <w:pPr>
              <w:jc w:val="center"/>
              <w:rPr>
                <w:rFonts w:cs="Arial"/>
                <w:b/>
                <w:sz w:val="20"/>
                <w:szCs w:val="20"/>
              </w:rPr>
            </w:pPr>
            <w:r w:rsidRPr="00990003">
              <w:rPr>
                <w:rFonts w:cs="Arial"/>
                <w:b/>
                <w:sz w:val="20"/>
                <w:szCs w:val="20"/>
              </w:rPr>
              <w:t>NB</w:t>
            </w:r>
          </w:p>
        </w:tc>
      </w:tr>
      <w:tr w:rsidR="00806304" w:rsidRPr="00990003" w14:paraId="06B29C0C" w14:textId="77777777" w:rsidTr="00D5615C">
        <w:trPr>
          <w:trHeight w:val="340"/>
        </w:trPr>
        <w:tc>
          <w:tcPr>
            <w:tcW w:w="717" w:type="pct"/>
            <w:vMerge/>
            <w:vAlign w:val="center"/>
          </w:tcPr>
          <w:p w14:paraId="54B06C55" w14:textId="77777777" w:rsidR="00806304" w:rsidRPr="00990003" w:rsidRDefault="00806304" w:rsidP="00806304">
            <w:pPr>
              <w:jc w:val="left"/>
              <w:rPr>
                <w:rFonts w:cs="Arial"/>
                <w:b/>
                <w:sz w:val="20"/>
                <w:szCs w:val="20"/>
              </w:rPr>
            </w:pPr>
          </w:p>
        </w:tc>
        <w:tc>
          <w:tcPr>
            <w:tcW w:w="852" w:type="pct"/>
            <w:vAlign w:val="center"/>
          </w:tcPr>
          <w:p w14:paraId="0F38D006" w14:textId="77777777" w:rsidR="00806304" w:rsidRPr="00990003" w:rsidRDefault="00806304" w:rsidP="00806304">
            <w:pPr>
              <w:jc w:val="left"/>
              <w:rPr>
                <w:rFonts w:cs="Arial"/>
                <w:b/>
                <w:sz w:val="20"/>
                <w:szCs w:val="20"/>
              </w:rPr>
            </w:pPr>
            <w:r w:rsidRPr="00990003">
              <w:rPr>
                <w:rFonts w:cs="Arial"/>
                <w:b/>
                <w:sz w:val="20"/>
                <w:szCs w:val="20"/>
              </w:rPr>
              <w:t>RP</w:t>
            </w:r>
          </w:p>
        </w:tc>
        <w:tc>
          <w:tcPr>
            <w:tcW w:w="270" w:type="pct"/>
            <w:shd w:val="clear" w:color="auto" w:fill="E5DFEC" w:themeFill="accent4" w:themeFillTint="33"/>
            <w:vAlign w:val="center"/>
          </w:tcPr>
          <w:p w14:paraId="11913EA3" w14:textId="68314EFA" w:rsidR="00806304" w:rsidRPr="00990003" w:rsidRDefault="00A32C9E" w:rsidP="00806304">
            <w:pPr>
              <w:jc w:val="center"/>
              <w:rPr>
                <w:rFonts w:cs="Arial"/>
                <w:sz w:val="20"/>
                <w:szCs w:val="20"/>
              </w:rPr>
            </w:pPr>
            <w:r>
              <w:rPr>
                <w:rFonts w:cs="Arial"/>
                <w:sz w:val="20"/>
                <w:szCs w:val="20"/>
              </w:rPr>
              <w:t>11</w:t>
            </w:r>
          </w:p>
        </w:tc>
        <w:tc>
          <w:tcPr>
            <w:tcW w:w="286" w:type="pct"/>
            <w:shd w:val="clear" w:color="auto" w:fill="E5DFEC" w:themeFill="accent4" w:themeFillTint="33"/>
            <w:vAlign w:val="center"/>
          </w:tcPr>
          <w:p w14:paraId="0C1CBF7F" w14:textId="5A01C20C" w:rsidR="00806304" w:rsidRPr="00990003" w:rsidRDefault="00806304" w:rsidP="00806304">
            <w:pPr>
              <w:jc w:val="center"/>
              <w:rPr>
                <w:rFonts w:cs="Arial"/>
                <w:b/>
                <w:bCs/>
                <w:sz w:val="20"/>
                <w:szCs w:val="20"/>
              </w:rPr>
            </w:pPr>
            <w:r>
              <w:rPr>
                <w:rFonts w:cs="Arial"/>
                <w:b/>
                <w:bCs/>
                <w:sz w:val="20"/>
                <w:szCs w:val="20"/>
              </w:rPr>
              <w:t>64</w:t>
            </w:r>
          </w:p>
        </w:tc>
        <w:tc>
          <w:tcPr>
            <w:tcW w:w="306" w:type="pct"/>
            <w:shd w:val="clear" w:color="auto" w:fill="E5DFEC" w:themeFill="accent4" w:themeFillTint="33"/>
            <w:vAlign w:val="center"/>
          </w:tcPr>
          <w:p w14:paraId="45EB1B2A" w14:textId="32898F34" w:rsidR="00806304" w:rsidRPr="00990003" w:rsidRDefault="00A32C9E" w:rsidP="00806304">
            <w:pPr>
              <w:jc w:val="center"/>
              <w:rPr>
                <w:rFonts w:cs="Arial"/>
                <w:sz w:val="20"/>
                <w:szCs w:val="20"/>
              </w:rPr>
            </w:pPr>
            <w:r>
              <w:rPr>
                <w:rFonts w:cs="Arial"/>
                <w:sz w:val="20"/>
                <w:szCs w:val="20"/>
              </w:rPr>
              <w:t>&lt;5</w:t>
            </w:r>
          </w:p>
        </w:tc>
        <w:tc>
          <w:tcPr>
            <w:tcW w:w="275" w:type="pct"/>
            <w:vAlign w:val="center"/>
          </w:tcPr>
          <w:p w14:paraId="677E04A7" w14:textId="73692C5C" w:rsidR="00806304" w:rsidRPr="00990003" w:rsidRDefault="00806304" w:rsidP="00806304">
            <w:pPr>
              <w:jc w:val="center"/>
              <w:rPr>
                <w:rFonts w:cs="Arial"/>
                <w:sz w:val="20"/>
                <w:szCs w:val="20"/>
              </w:rPr>
            </w:pPr>
            <w:r>
              <w:rPr>
                <w:rFonts w:cs="Arial"/>
                <w:sz w:val="20"/>
                <w:szCs w:val="20"/>
              </w:rPr>
              <w:t>0</w:t>
            </w:r>
          </w:p>
        </w:tc>
        <w:tc>
          <w:tcPr>
            <w:tcW w:w="278" w:type="pct"/>
            <w:vAlign w:val="center"/>
          </w:tcPr>
          <w:p w14:paraId="6885782C" w14:textId="0C002DD1" w:rsidR="00806304" w:rsidRPr="00806304" w:rsidRDefault="00806304" w:rsidP="00806304">
            <w:pPr>
              <w:jc w:val="center"/>
              <w:rPr>
                <w:rFonts w:cs="Arial"/>
                <w:b/>
                <w:bCs/>
                <w:sz w:val="20"/>
                <w:szCs w:val="20"/>
              </w:rPr>
            </w:pPr>
            <w:r w:rsidRPr="00806304">
              <w:rPr>
                <w:rFonts w:cs="Arial"/>
                <w:b/>
                <w:bCs/>
                <w:sz w:val="20"/>
                <w:szCs w:val="20"/>
              </w:rPr>
              <w:t>5</w:t>
            </w:r>
          </w:p>
        </w:tc>
        <w:tc>
          <w:tcPr>
            <w:tcW w:w="307" w:type="pct"/>
            <w:vAlign w:val="center"/>
          </w:tcPr>
          <w:p w14:paraId="63601356" w14:textId="226E1004" w:rsidR="00806304" w:rsidRPr="00990003" w:rsidRDefault="00806304" w:rsidP="00806304">
            <w:pPr>
              <w:jc w:val="center"/>
              <w:rPr>
                <w:rFonts w:cs="Arial"/>
                <w:sz w:val="20"/>
                <w:szCs w:val="20"/>
              </w:rPr>
            </w:pPr>
            <w:r>
              <w:rPr>
                <w:rFonts w:cs="Arial"/>
                <w:sz w:val="20"/>
                <w:szCs w:val="20"/>
              </w:rPr>
              <w:t>&lt;5</w:t>
            </w:r>
          </w:p>
        </w:tc>
        <w:tc>
          <w:tcPr>
            <w:tcW w:w="269" w:type="pct"/>
            <w:shd w:val="clear" w:color="auto" w:fill="E5DFEC" w:themeFill="accent4" w:themeFillTint="33"/>
            <w:vAlign w:val="center"/>
          </w:tcPr>
          <w:p w14:paraId="77D2C4E6" w14:textId="68C9D1A4" w:rsidR="00806304" w:rsidRPr="00990003" w:rsidRDefault="00806304" w:rsidP="00806304">
            <w:pPr>
              <w:jc w:val="center"/>
              <w:rPr>
                <w:rFonts w:cs="Arial"/>
                <w:sz w:val="20"/>
                <w:szCs w:val="20"/>
              </w:rPr>
            </w:pPr>
            <w:r>
              <w:rPr>
                <w:rFonts w:cs="Arial"/>
                <w:sz w:val="20"/>
                <w:szCs w:val="20"/>
              </w:rPr>
              <w:t>0</w:t>
            </w:r>
          </w:p>
        </w:tc>
        <w:tc>
          <w:tcPr>
            <w:tcW w:w="280" w:type="pct"/>
            <w:shd w:val="clear" w:color="auto" w:fill="E5DFEC" w:themeFill="accent4" w:themeFillTint="33"/>
            <w:vAlign w:val="center"/>
          </w:tcPr>
          <w:p w14:paraId="6BD892A7" w14:textId="217C72C5" w:rsidR="00806304" w:rsidRPr="00990003" w:rsidRDefault="00806304" w:rsidP="00806304">
            <w:pPr>
              <w:jc w:val="center"/>
              <w:rPr>
                <w:rFonts w:cs="Arial"/>
                <w:sz w:val="20"/>
                <w:szCs w:val="20"/>
              </w:rPr>
            </w:pPr>
            <w:r>
              <w:rPr>
                <w:rFonts w:cs="Arial"/>
                <w:sz w:val="20"/>
                <w:szCs w:val="20"/>
              </w:rPr>
              <w:t>0</w:t>
            </w:r>
          </w:p>
        </w:tc>
        <w:tc>
          <w:tcPr>
            <w:tcW w:w="306" w:type="pct"/>
            <w:shd w:val="clear" w:color="auto" w:fill="E5DFEC" w:themeFill="accent4" w:themeFillTint="33"/>
            <w:vAlign w:val="center"/>
          </w:tcPr>
          <w:p w14:paraId="6E7F0E78" w14:textId="3E4BC283" w:rsidR="00806304" w:rsidRPr="00990003" w:rsidRDefault="00806304" w:rsidP="00806304">
            <w:pPr>
              <w:jc w:val="center"/>
              <w:rPr>
                <w:rFonts w:cs="Arial"/>
                <w:sz w:val="20"/>
                <w:szCs w:val="20"/>
              </w:rPr>
            </w:pPr>
            <w:r>
              <w:rPr>
                <w:rFonts w:cs="Arial"/>
                <w:sz w:val="20"/>
                <w:szCs w:val="20"/>
              </w:rPr>
              <w:t>0</w:t>
            </w:r>
          </w:p>
        </w:tc>
        <w:tc>
          <w:tcPr>
            <w:tcW w:w="257" w:type="pct"/>
            <w:vAlign w:val="center"/>
          </w:tcPr>
          <w:p w14:paraId="1B5B10E6" w14:textId="1AE701EA" w:rsidR="00806304" w:rsidRPr="00806304" w:rsidRDefault="00806304" w:rsidP="00806304">
            <w:pPr>
              <w:jc w:val="center"/>
              <w:rPr>
                <w:rFonts w:cs="Arial"/>
                <w:sz w:val="20"/>
                <w:szCs w:val="20"/>
              </w:rPr>
            </w:pPr>
            <w:r w:rsidRPr="00806304">
              <w:rPr>
                <w:rFonts w:cs="Arial"/>
                <w:sz w:val="20"/>
                <w:szCs w:val="20"/>
              </w:rPr>
              <w:t>&lt;5</w:t>
            </w:r>
          </w:p>
        </w:tc>
        <w:tc>
          <w:tcPr>
            <w:tcW w:w="257" w:type="pct"/>
            <w:vAlign w:val="center"/>
          </w:tcPr>
          <w:p w14:paraId="0FA41269" w14:textId="2B412E4C" w:rsidR="00806304" w:rsidRPr="00806304" w:rsidRDefault="00806304" w:rsidP="00806304">
            <w:pPr>
              <w:jc w:val="center"/>
              <w:rPr>
                <w:rFonts w:cs="Arial"/>
                <w:sz w:val="20"/>
                <w:szCs w:val="20"/>
              </w:rPr>
            </w:pPr>
            <w:r w:rsidRPr="00806304">
              <w:rPr>
                <w:rFonts w:cs="Arial"/>
                <w:sz w:val="20"/>
                <w:szCs w:val="20"/>
              </w:rPr>
              <w:t xml:space="preserve">&lt;5 </w:t>
            </w:r>
          </w:p>
        </w:tc>
        <w:tc>
          <w:tcPr>
            <w:tcW w:w="340" w:type="pct"/>
            <w:vAlign w:val="center"/>
          </w:tcPr>
          <w:p w14:paraId="24630B3B" w14:textId="7E99ED9A" w:rsidR="00806304" w:rsidRPr="00990003" w:rsidRDefault="00806304" w:rsidP="00806304">
            <w:pPr>
              <w:jc w:val="center"/>
              <w:rPr>
                <w:rFonts w:cs="Arial"/>
                <w:sz w:val="20"/>
                <w:szCs w:val="20"/>
              </w:rPr>
            </w:pPr>
            <w:r>
              <w:rPr>
                <w:rFonts w:cs="Arial"/>
                <w:sz w:val="20"/>
                <w:szCs w:val="20"/>
              </w:rPr>
              <w:t>0</w:t>
            </w:r>
          </w:p>
        </w:tc>
      </w:tr>
      <w:tr w:rsidR="00806304" w:rsidRPr="00990003" w14:paraId="61063D0A" w14:textId="77777777" w:rsidTr="00D5615C">
        <w:trPr>
          <w:trHeight w:val="340"/>
        </w:trPr>
        <w:tc>
          <w:tcPr>
            <w:tcW w:w="717" w:type="pct"/>
            <w:vMerge/>
            <w:vAlign w:val="center"/>
          </w:tcPr>
          <w:p w14:paraId="0D192206" w14:textId="77777777" w:rsidR="00806304" w:rsidRPr="00990003" w:rsidRDefault="00806304" w:rsidP="00806304">
            <w:pPr>
              <w:jc w:val="left"/>
              <w:rPr>
                <w:rFonts w:cs="Arial"/>
                <w:b/>
                <w:sz w:val="20"/>
                <w:szCs w:val="20"/>
              </w:rPr>
            </w:pPr>
          </w:p>
        </w:tc>
        <w:tc>
          <w:tcPr>
            <w:tcW w:w="852" w:type="pct"/>
            <w:vAlign w:val="center"/>
          </w:tcPr>
          <w:p w14:paraId="183AF35C" w14:textId="77777777" w:rsidR="00806304" w:rsidRPr="00990003" w:rsidRDefault="00806304" w:rsidP="00806304">
            <w:pPr>
              <w:jc w:val="left"/>
              <w:rPr>
                <w:rFonts w:cs="Arial"/>
                <w:b/>
                <w:sz w:val="20"/>
                <w:szCs w:val="20"/>
              </w:rPr>
            </w:pPr>
            <w:r w:rsidRPr="00990003">
              <w:rPr>
                <w:rFonts w:cs="Arial"/>
                <w:b/>
                <w:sz w:val="20"/>
                <w:szCs w:val="20"/>
              </w:rPr>
              <w:t>RSP</w:t>
            </w:r>
          </w:p>
        </w:tc>
        <w:tc>
          <w:tcPr>
            <w:tcW w:w="270" w:type="pct"/>
            <w:shd w:val="clear" w:color="auto" w:fill="E5DFEC" w:themeFill="accent4" w:themeFillTint="33"/>
            <w:vAlign w:val="center"/>
          </w:tcPr>
          <w:p w14:paraId="2896C639" w14:textId="28CF3FAD" w:rsidR="00806304" w:rsidRPr="00990003" w:rsidRDefault="00A32C9E" w:rsidP="00806304">
            <w:pPr>
              <w:jc w:val="center"/>
              <w:rPr>
                <w:rFonts w:cs="Arial"/>
                <w:b/>
                <w:bCs/>
                <w:sz w:val="20"/>
                <w:szCs w:val="20"/>
              </w:rPr>
            </w:pPr>
            <w:r>
              <w:rPr>
                <w:rFonts w:cs="Arial"/>
                <w:b/>
                <w:bCs/>
                <w:sz w:val="20"/>
                <w:szCs w:val="20"/>
              </w:rPr>
              <w:t>73</w:t>
            </w:r>
          </w:p>
        </w:tc>
        <w:tc>
          <w:tcPr>
            <w:tcW w:w="286" w:type="pct"/>
            <w:shd w:val="clear" w:color="auto" w:fill="E5DFEC" w:themeFill="accent4" w:themeFillTint="33"/>
            <w:vAlign w:val="center"/>
          </w:tcPr>
          <w:p w14:paraId="3B3F3C38" w14:textId="5C2ECC78" w:rsidR="00806304" w:rsidRPr="00990003" w:rsidRDefault="00A32C9E" w:rsidP="00806304">
            <w:pPr>
              <w:jc w:val="center"/>
              <w:rPr>
                <w:rFonts w:cs="Arial"/>
                <w:sz w:val="20"/>
                <w:szCs w:val="20"/>
              </w:rPr>
            </w:pPr>
            <w:r>
              <w:rPr>
                <w:rFonts w:cs="Arial"/>
                <w:sz w:val="20"/>
                <w:szCs w:val="20"/>
              </w:rPr>
              <w:t>5</w:t>
            </w:r>
          </w:p>
        </w:tc>
        <w:tc>
          <w:tcPr>
            <w:tcW w:w="306" w:type="pct"/>
            <w:shd w:val="clear" w:color="auto" w:fill="E5DFEC" w:themeFill="accent4" w:themeFillTint="33"/>
            <w:vAlign w:val="center"/>
          </w:tcPr>
          <w:p w14:paraId="03F5FD13" w14:textId="0A66F183" w:rsidR="00806304" w:rsidRPr="00990003" w:rsidRDefault="00A32C9E" w:rsidP="00806304">
            <w:pPr>
              <w:jc w:val="center"/>
              <w:rPr>
                <w:rFonts w:cs="Arial"/>
                <w:sz w:val="20"/>
                <w:szCs w:val="20"/>
              </w:rPr>
            </w:pPr>
            <w:r>
              <w:rPr>
                <w:rFonts w:cs="Arial"/>
                <w:sz w:val="20"/>
                <w:szCs w:val="20"/>
              </w:rPr>
              <w:t>0</w:t>
            </w:r>
          </w:p>
        </w:tc>
        <w:tc>
          <w:tcPr>
            <w:tcW w:w="275" w:type="pct"/>
            <w:vAlign w:val="center"/>
          </w:tcPr>
          <w:p w14:paraId="0EFA7562" w14:textId="24D7CD7E" w:rsidR="00806304" w:rsidRPr="00990003" w:rsidRDefault="00806304" w:rsidP="00806304">
            <w:pPr>
              <w:jc w:val="center"/>
              <w:rPr>
                <w:rFonts w:cs="Arial"/>
                <w:b/>
                <w:bCs/>
                <w:sz w:val="20"/>
                <w:szCs w:val="20"/>
              </w:rPr>
            </w:pPr>
            <w:r>
              <w:rPr>
                <w:rFonts w:cs="Arial"/>
                <w:b/>
                <w:bCs/>
                <w:sz w:val="20"/>
                <w:szCs w:val="20"/>
              </w:rPr>
              <w:t>5</w:t>
            </w:r>
          </w:p>
        </w:tc>
        <w:tc>
          <w:tcPr>
            <w:tcW w:w="278" w:type="pct"/>
            <w:vAlign w:val="center"/>
          </w:tcPr>
          <w:p w14:paraId="3975DBE9" w14:textId="5D674604" w:rsidR="00806304" w:rsidRPr="00990003" w:rsidRDefault="00806304" w:rsidP="00806304">
            <w:pPr>
              <w:jc w:val="center"/>
              <w:rPr>
                <w:rFonts w:cs="Arial"/>
                <w:sz w:val="20"/>
                <w:szCs w:val="20"/>
              </w:rPr>
            </w:pPr>
            <w:r>
              <w:rPr>
                <w:rFonts w:cs="Arial"/>
                <w:sz w:val="20"/>
                <w:szCs w:val="20"/>
              </w:rPr>
              <w:t>&lt;5</w:t>
            </w:r>
          </w:p>
        </w:tc>
        <w:tc>
          <w:tcPr>
            <w:tcW w:w="307" w:type="pct"/>
            <w:vAlign w:val="center"/>
          </w:tcPr>
          <w:p w14:paraId="79825308" w14:textId="5DF5FD04" w:rsidR="00806304" w:rsidRPr="00990003" w:rsidRDefault="00806304" w:rsidP="00806304">
            <w:pPr>
              <w:jc w:val="center"/>
              <w:rPr>
                <w:rFonts w:cs="Arial"/>
                <w:sz w:val="20"/>
                <w:szCs w:val="20"/>
              </w:rPr>
            </w:pPr>
            <w:r>
              <w:rPr>
                <w:rFonts w:cs="Arial"/>
                <w:sz w:val="20"/>
                <w:szCs w:val="20"/>
              </w:rPr>
              <w:t>0</w:t>
            </w:r>
          </w:p>
        </w:tc>
        <w:tc>
          <w:tcPr>
            <w:tcW w:w="269" w:type="pct"/>
            <w:shd w:val="clear" w:color="auto" w:fill="E5DFEC" w:themeFill="accent4" w:themeFillTint="33"/>
            <w:vAlign w:val="center"/>
          </w:tcPr>
          <w:p w14:paraId="17B84E7F" w14:textId="7B71F859" w:rsidR="00806304" w:rsidRPr="00990003" w:rsidRDefault="00806304" w:rsidP="00806304">
            <w:pPr>
              <w:jc w:val="center"/>
              <w:rPr>
                <w:rFonts w:cs="Arial"/>
                <w:sz w:val="20"/>
                <w:szCs w:val="20"/>
              </w:rPr>
            </w:pPr>
            <w:r>
              <w:rPr>
                <w:rFonts w:cs="Arial"/>
                <w:sz w:val="20"/>
                <w:szCs w:val="20"/>
              </w:rPr>
              <w:t>0</w:t>
            </w:r>
          </w:p>
        </w:tc>
        <w:tc>
          <w:tcPr>
            <w:tcW w:w="280" w:type="pct"/>
            <w:shd w:val="clear" w:color="auto" w:fill="E5DFEC" w:themeFill="accent4" w:themeFillTint="33"/>
            <w:vAlign w:val="center"/>
          </w:tcPr>
          <w:p w14:paraId="14A829E4" w14:textId="5E516996" w:rsidR="00806304" w:rsidRPr="00990003" w:rsidRDefault="00806304" w:rsidP="00806304">
            <w:pPr>
              <w:jc w:val="center"/>
              <w:rPr>
                <w:rFonts w:cs="Arial"/>
                <w:sz w:val="20"/>
                <w:szCs w:val="20"/>
              </w:rPr>
            </w:pPr>
            <w:r>
              <w:rPr>
                <w:rFonts w:cs="Arial"/>
                <w:sz w:val="20"/>
                <w:szCs w:val="20"/>
              </w:rPr>
              <w:t>0</w:t>
            </w:r>
          </w:p>
        </w:tc>
        <w:tc>
          <w:tcPr>
            <w:tcW w:w="306" w:type="pct"/>
            <w:shd w:val="clear" w:color="auto" w:fill="E5DFEC" w:themeFill="accent4" w:themeFillTint="33"/>
            <w:vAlign w:val="center"/>
          </w:tcPr>
          <w:p w14:paraId="125BDBCF" w14:textId="744C980D" w:rsidR="00806304" w:rsidRPr="00990003" w:rsidRDefault="00806304" w:rsidP="00806304">
            <w:pPr>
              <w:jc w:val="center"/>
              <w:rPr>
                <w:rFonts w:cs="Arial"/>
                <w:sz w:val="20"/>
                <w:szCs w:val="20"/>
              </w:rPr>
            </w:pPr>
            <w:r>
              <w:rPr>
                <w:rFonts w:cs="Arial"/>
                <w:sz w:val="20"/>
                <w:szCs w:val="20"/>
              </w:rPr>
              <w:t>0</w:t>
            </w:r>
          </w:p>
        </w:tc>
        <w:tc>
          <w:tcPr>
            <w:tcW w:w="257" w:type="pct"/>
            <w:vAlign w:val="center"/>
          </w:tcPr>
          <w:p w14:paraId="690C4EB7" w14:textId="7D99E093" w:rsidR="00806304" w:rsidRPr="00806304" w:rsidRDefault="00806304" w:rsidP="00806304">
            <w:pPr>
              <w:jc w:val="center"/>
              <w:rPr>
                <w:rFonts w:cs="Arial"/>
                <w:sz w:val="20"/>
                <w:szCs w:val="20"/>
              </w:rPr>
            </w:pPr>
            <w:r w:rsidRPr="00806304">
              <w:rPr>
                <w:rFonts w:cs="Arial"/>
                <w:sz w:val="20"/>
                <w:szCs w:val="20"/>
              </w:rPr>
              <w:t>&lt;5</w:t>
            </w:r>
          </w:p>
        </w:tc>
        <w:tc>
          <w:tcPr>
            <w:tcW w:w="257" w:type="pct"/>
            <w:vAlign w:val="center"/>
          </w:tcPr>
          <w:p w14:paraId="1834BD5E" w14:textId="65D9BC03" w:rsidR="00806304" w:rsidRPr="00990003" w:rsidRDefault="00806304" w:rsidP="00806304">
            <w:pPr>
              <w:jc w:val="center"/>
              <w:rPr>
                <w:rFonts w:cs="Arial"/>
                <w:sz w:val="20"/>
                <w:szCs w:val="20"/>
              </w:rPr>
            </w:pPr>
            <w:r>
              <w:rPr>
                <w:rFonts w:cs="Arial"/>
                <w:sz w:val="20"/>
                <w:szCs w:val="20"/>
              </w:rPr>
              <w:t xml:space="preserve">&lt;5 </w:t>
            </w:r>
          </w:p>
        </w:tc>
        <w:tc>
          <w:tcPr>
            <w:tcW w:w="340" w:type="pct"/>
            <w:vAlign w:val="center"/>
          </w:tcPr>
          <w:p w14:paraId="3A516E6E" w14:textId="1860FEA3" w:rsidR="00806304" w:rsidRPr="00990003" w:rsidRDefault="00806304" w:rsidP="00806304">
            <w:pPr>
              <w:jc w:val="center"/>
              <w:rPr>
                <w:rFonts w:cs="Arial"/>
                <w:sz w:val="20"/>
                <w:szCs w:val="20"/>
              </w:rPr>
            </w:pPr>
            <w:r>
              <w:rPr>
                <w:rFonts w:cs="Arial"/>
                <w:sz w:val="20"/>
                <w:szCs w:val="20"/>
              </w:rPr>
              <w:t>0</w:t>
            </w:r>
          </w:p>
        </w:tc>
      </w:tr>
      <w:tr w:rsidR="00806304" w:rsidRPr="00990003" w14:paraId="5C7FED5E" w14:textId="77777777" w:rsidTr="002A0835">
        <w:trPr>
          <w:trHeight w:val="77"/>
        </w:trPr>
        <w:tc>
          <w:tcPr>
            <w:tcW w:w="5000" w:type="pct"/>
            <w:gridSpan w:val="14"/>
            <w:shd w:val="clear" w:color="auto" w:fill="B2A1C7" w:themeFill="accent4" w:themeFillTint="99"/>
            <w:vAlign w:val="center"/>
          </w:tcPr>
          <w:p w14:paraId="4760829F" w14:textId="77777777" w:rsidR="00806304" w:rsidRPr="00990003" w:rsidRDefault="00806304" w:rsidP="00806304">
            <w:pPr>
              <w:jc w:val="left"/>
              <w:rPr>
                <w:rFonts w:cs="Arial"/>
                <w:sz w:val="8"/>
                <w:szCs w:val="20"/>
              </w:rPr>
            </w:pPr>
          </w:p>
        </w:tc>
      </w:tr>
      <w:tr w:rsidR="00806304" w:rsidRPr="00990003" w14:paraId="30BD922E" w14:textId="77777777" w:rsidTr="002A0835">
        <w:trPr>
          <w:trHeight w:val="340"/>
        </w:trPr>
        <w:tc>
          <w:tcPr>
            <w:tcW w:w="1569" w:type="pct"/>
            <w:gridSpan w:val="2"/>
            <w:vAlign w:val="center"/>
          </w:tcPr>
          <w:p w14:paraId="32C226A9" w14:textId="77777777" w:rsidR="00806304" w:rsidRPr="00990003" w:rsidRDefault="00806304" w:rsidP="00806304">
            <w:pPr>
              <w:jc w:val="left"/>
              <w:rPr>
                <w:rFonts w:cs="Arial"/>
                <w:b/>
                <w:sz w:val="20"/>
                <w:szCs w:val="20"/>
              </w:rPr>
            </w:pPr>
            <w:r w:rsidRPr="00990003">
              <w:rPr>
                <w:rFonts w:cs="Arial"/>
                <w:b/>
                <w:sz w:val="20"/>
                <w:szCs w:val="20"/>
              </w:rPr>
              <w:t>TOTAL</w:t>
            </w:r>
          </w:p>
        </w:tc>
        <w:tc>
          <w:tcPr>
            <w:tcW w:w="862" w:type="pct"/>
            <w:gridSpan w:val="3"/>
            <w:shd w:val="clear" w:color="auto" w:fill="E5DFEC" w:themeFill="accent4" w:themeFillTint="33"/>
            <w:vAlign w:val="center"/>
          </w:tcPr>
          <w:p w14:paraId="5D51F05E" w14:textId="3F733F4D" w:rsidR="00806304" w:rsidRPr="00990003" w:rsidRDefault="00806304" w:rsidP="00806304">
            <w:pPr>
              <w:jc w:val="center"/>
              <w:rPr>
                <w:rFonts w:cs="Arial"/>
                <w:b/>
                <w:sz w:val="20"/>
                <w:szCs w:val="20"/>
              </w:rPr>
            </w:pPr>
            <w:r>
              <w:rPr>
                <w:rFonts w:cs="Arial"/>
                <w:b/>
                <w:sz w:val="20"/>
                <w:szCs w:val="20"/>
              </w:rPr>
              <w:t>78</w:t>
            </w:r>
          </w:p>
        </w:tc>
        <w:tc>
          <w:tcPr>
            <w:tcW w:w="860" w:type="pct"/>
            <w:gridSpan w:val="3"/>
            <w:vAlign w:val="center"/>
          </w:tcPr>
          <w:p w14:paraId="2B7F3139" w14:textId="2FC3F7A4" w:rsidR="00806304" w:rsidRPr="00990003" w:rsidRDefault="00806304" w:rsidP="00806304">
            <w:pPr>
              <w:jc w:val="center"/>
              <w:rPr>
                <w:rFonts w:cs="Arial"/>
                <w:bCs/>
                <w:sz w:val="20"/>
                <w:szCs w:val="20"/>
              </w:rPr>
            </w:pPr>
            <w:r>
              <w:rPr>
                <w:rFonts w:cs="Arial"/>
                <w:bCs/>
                <w:sz w:val="20"/>
                <w:szCs w:val="20"/>
              </w:rPr>
              <w:t>6</w:t>
            </w:r>
          </w:p>
        </w:tc>
        <w:tc>
          <w:tcPr>
            <w:tcW w:w="855" w:type="pct"/>
            <w:gridSpan w:val="3"/>
            <w:shd w:val="clear" w:color="auto" w:fill="E5DFEC" w:themeFill="accent4" w:themeFillTint="33"/>
            <w:vAlign w:val="center"/>
          </w:tcPr>
          <w:p w14:paraId="499020D6" w14:textId="39720E87" w:rsidR="00806304" w:rsidRPr="00990003" w:rsidRDefault="00806304" w:rsidP="00806304">
            <w:pPr>
              <w:jc w:val="center"/>
              <w:rPr>
                <w:rFonts w:cs="Arial"/>
                <w:bCs/>
                <w:sz w:val="20"/>
                <w:szCs w:val="20"/>
              </w:rPr>
            </w:pPr>
            <w:r>
              <w:rPr>
                <w:rFonts w:cs="Arial"/>
                <w:bCs/>
                <w:sz w:val="20"/>
                <w:szCs w:val="20"/>
              </w:rPr>
              <w:t>0</w:t>
            </w:r>
          </w:p>
        </w:tc>
        <w:tc>
          <w:tcPr>
            <w:tcW w:w="854" w:type="pct"/>
            <w:gridSpan w:val="3"/>
            <w:vAlign w:val="center"/>
          </w:tcPr>
          <w:p w14:paraId="3948965F" w14:textId="35525FB9" w:rsidR="00806304" w:rsidRPr="00990003" w:rsidRDefault="00806304" w:rsidP="00806304">
            <w:pPr>
              <w:jc w:val="center"/>
              <w:rPr>
                <w:rFonts w:cs="Arial"/>
                <w:bCs/>
                <w:sz w:val="20"/>
                <w:szCs w:val="20"/>
              </w:rPr>
            </w:pPr>
            <w:r>
              <w:rPr>
                <w:rFonts w:cs="Arial"/>
                <w:bCs/>
                <w:sz w:val="20"/>
                <w:szCs w:val="20"/>
              </w:rPr>
              <w:t>6</w:t>
            </w:r>
          </w:p>
        </w:tc>
      </w:tr>
      <w:tr w:rsidR="00806304" w:rsidRPr="00990003" w14:paraId="35B1C255" w14:textId="77777777" w:rsidTr="002A0835">
        <w:trPr>
          <w:trHeight w:val="340"/>
        </w:trPr>
        <w:tc>
          <w:tcPr>
            <w:tcW w:w="5000" w:type="pct"/>
            <w:gridSpan w:val="14"/>
            <w:shd w:val="clear" w:color="auto" w:fill="B2A1C7" w:themeFill="accent4" w:themeFillTint="99"/>
          </w:tcPr>
          <w:p w14:paraId="5535980F" w14:textId="77777777" w:rsidR="00A32C9E" w:rsidRDefault="00A32C9E" w:rsidP="00806304">
            <w:pPr>
              <w:jc w:val="left"/>
              <w:rPr>
                <w:rFonts w:cs="Arial"/>
                <w:sz w:val="18"/>
                <w:szCs w:val="20"/>
              </w:rPr>
            </w:pPr>
            <w:r>
              <w:rPr>
                <w:rFonts w:cs="Arial"/>
                <w:sz w:val="18"/>
                <w:szCs w:val="20"/>
              </w:rPr>
              <w:t xml:space="preserve">Total reports to the University = 108 </w:t>
            </w:r>
          </w:p>
          <w:p w14:paraId="2CDCC541" w14:textId="018D6406" w:rsidR="00A32C9E" w:rsidRDefault="00A32C9E" w:rsidP="00806304">
            <w:pPr>
              <w:jc w:val="left"/>
              <w:rPr>
                <w:rFonts w:cs="Arial"/>
                <w:sz w:val="18"/>
                <w:szCs w:val="20"/>
              </w:rPr>
            </w:pPr>
            <w:r>
              <w:rPr>
                <w:rFonts w:cs="Arial"/>
                <w:sz w:val="18"/>
                <w:szCs w:val="20"/>
              </w:rPr>
              <w:t xml:space="preserve">&lt;5 reports were made by Reporting Party groups and 8 reports </w:t>
            </w:r>
            <w:r w:rsidR="00542154">
              <w:rPr>
                <w:rFonts w:cs="Arial"/>
                <w:sz w:val="18"/>
                <w:szCs w:val="20"/>
              </w:rPr>
              <w:t xml:space="preserve">involved </w:t>
            </w:r>
            <w:r>
              <w:rPr>
                <w:rFonts w:cs="Arial"/>
                <w:sz w:val="18"/>
                <w:szCs w:val="20"/>
              </w:rPr>
              <w:t xml:space="preserve">groups of students </w:t>
            </w:r>
            <w:r w:rsidR="00542154">
              <w:rPr>
                <w:rFonts w:cs="Arial"/>
                <w:sz w:val="18"/>
                <w:szCs w:val="20"/>
              </w:rPr>
              <w:t>as the Responding Party</w:t>
            </w:r>
          </w:p>
          <w:p w14:paraId="1B76C008" w14:textId="63708707" w:rsidR="00806304" w:rsidRPr="00990003" w:rsidRDefault="00A32C9E" w:rsidP="00806304">
            <w:pPr>
              <w:jc w:val="left"/>
              <w:rPr>
                <w:rFonts w:cs="Arial"/>
                <w:sz w:val="18"/>
                <w:szCs w:val="20"/>
              </w:rPr>
            </w:pPr>
            <w:r>
              <w:rPr>
                <w:rFonts w:cs="Arial"/>
                <w:sz w:val="18"/>
                <w:szCs w:val="20"/>
              </w:rPr>
              <w:t>9 reports were made against Responding Parties who were not identified or not affiliated to the University and therefore not accepted.</w:t>
            </w:r>
          </w:p>
        </w:tc>
      </w:tr>
      <w:tr w:rsidR="00806304" w:rsidRPr="00990003" w14:paraId="3166D00A" w14:textId="77777777" w:rsidTr="00D5615C">
        <w:trPr>
          <w:trHeight w:val="340"/>
        </w:trPr>
        <w:tc>
          <w:tcPr>
            <w:tcW w:w="5000" w:type="pct"/>
            <w:gridSpan w:val="14"/>
            <w:shd w:val="clear" w:color="auto" w:fill="5F497A" w:themeFill="accent4" w:themeFillShade="BF"/>
          </w:tcPr>
          <w:p w14:paraId="739DB61D" w14:textId="77777777" w:rsidR="00806304" w:rsidRPr="00990003" w:rsidRDefault="00806304" w:rsidP="00806304">
            <w:pPr>
              <w:jc w:val="left"/>
              <w:rPr>
                <w:rFonts w:cs="Arial"/>
                <w:sz w:val="18"/>
                <w:szCs w:val="20"/>
                <w:u w:val="single"/>
              </w:rPr>
            </w:pPr>
            <w:r w:rsidRPr="00990003">
              <w:rPr>
                <w:rFonts w:cs="Arial"/>
                <w:sz w:val="18"/>
                <w:szCs w:val="20"/>
                <w:u w:val="single"/>
              </w:rPr>
              <w:t>Key</w:t>
            </w:r>
          </w:p>
          <w:p w14:paraId="04607AB6" w14:textId="77777777" w:rsidR="00806304" w:rsidRPr="00990003" w:rsidRDefault="00806304" w:rsidP="00806304">
            <w:pPr>
              <w:jc w:val="left"/>
              <w:rPr>
                <w:rFonts w:cs="Arial"/>
                <w:sz w:val="18"/>
                <w:szCs w:val="20"/>
              </w:rPr>
            </w:pPr>
            <w:r w:rsidRPr="00990003">
              <w:rPr>
                <w:rFonts w:cs="Arial"/>
                <w:b/>
                <w:sz w:val="18"/>
                <w:szCs w:val="20"/>
              </w:rPr>
              <w:t>RP</w:t>
            </w:r>
            <w:r w:rsidRPr="00990003">
              <w:rPr>
                <w:rFonts w:cs="Arial"/>
                <w:sz w:val="18"/>
                <w:szCs w:val="20"/>
              </w:rPr>
              <w:t xml:space="preserve"> – Reporting Party, individual reporting they were subjected to SMV</w:t>
            </w:r>
          </w:p>
          <w:p w14:paraId="04505B7B" w14:textId="77777777" w:rsidR="00806304" w:rsidRPr="00990003" w:rsidRDefault="00806304" w:rsidP="00806304">
            <w:pPr>
              <w:jc w:val="left"/>
              <w:rPr>
                <w:rFonts w:cs="Arial"/>
                <w:sz w:val="18"/>
                <w:szCs w:val="20"/>
              </w:rPr>
            </w:pPr>
            <w:r w:rsidRPr="00990003">
              <w:rPr>
                <w:rFonts w:cs="Arial"/>
                <w:b/>
                <w:sz w:val="18"/>
                <w:szCs w:val="20"/>
              </w:rPr>
              <w:t>RSP</w:t>
            </w:r>
            <w:r w:rsidRPr="00990003">
              <w:rPr>
                <w:rFonts w:cs="Arial"/>
                <w:sz w:val="18"/>
                <w:szCs w:val="20"/>
              </w:rPr>
              <w:t xml:space="preserve"> – Responding Party, individual reported to have committed the SMV </w:t>
            </w:r>
          </w:p>
          <w:p w14:paraId="19D23C7A" w14:textId="2EB77B74" w:rsidR="00806304" w:rsidRPr="00990003" w:rsidRDefault="00806304" w:rsidP="00806304">
            <w:pPr>
              <w:jc w:val="left"/>
              <w:rPr>
                <w:rFonts w:cs="Arial"/>
                <w:sz w:val="18"/>
                <w:szCs w:val="20"/>
              </w:rPr>
            </w:pPr>
            <w:r w:rsidRPr="00990003">
              <w:rPr>
                <w:rFonts w:cs="Arial"/>
                <w:b/>
                <w:sz w:val="18"/>
                <w:szCs w:val="20"/>
              </w:rPr>
              <w:t>M</w:t>
            </w:r>
            <w:r w:rsidRPr="00990003">
              <w:rPr>
                <w:rFonts w:cs="Arial"/>
                <w:sz w:val="18"/>
                <w:szCs w:val="20"/>
              </w:rPr>
              <w:t xml:space="preserve"> – Man   </w:t>
            </w:r>
            <w:r w:rsidRPr="00990003">
              <w:rPr>
                <w:rFonts w:cs="Arial"/>
                <w:b/>
                <w:sz w:val="18"/>
                <w:szCs w:val="20"/>
              </w:rPr>
              <w:t>W</w:t>
            </w:r>
            <w:r w:rsidRPr="00990003">
              <w:rPr>
                <w:rFonts w:cs="Arial"/>
                <w:sz w:val="18"/>
                <w:szCs w:val="20"/>
              </w:rPr>
              <w:t xml:space="preserve"> – Woman   </w:t>
            </w:r>
            <w:r w:rsidRPr="00990003">
              <w:rPr>
                <w:rFonts w:cs="Arial"/>
                <w:b/>
                <w:sz w:val="18"/>
                <w:szCs w:val="20"/>
              </w:rPr>
              <w:t>NB</w:t>
            </w:r>
            <w:r w:rsidRPr="00990003">
              <w:rPr>
                <w:rFonts w:cs="Arial"/>
                <w:sz w:val="18"/>
                <w:szCs w:val="20"/>
              </w:rPr>
              <w:t xml:space="preserve"> – Non-binary/Trans</w:t>
            </w:r>
          </w:p>
        </w:tc>
      </w:tr>
    </w:tbl>
    <w:p w14:paraId="0F7BDE32" w14:textId="77777777" w:rsidR="004056E6" w:rsidRPr="004056E6" w:rsidRDefault="004056E6" w:rsidP="004056E6">
      <w:pPr>
        <w:pStyle w:val="TextunderNumbered"/>
        <w:numPr>
          <w:ilvl w:val="0"/>
          <w:numId w:val="0"/>
        </w:numPr>
        <w:shd w:val="clear" w:color="auto" w:fill="auto"/>
        <w:ind w:left="502" w:hanging="502"/>
      </w:pPr>
    </w:p>
    <w:p w14:paraId="7AA3468E" w14:textId="01732051" w:rsidR="007E704E" w:rsidRPr="004056E6" w:rsidRDefault="004056E6" w:rsidP="004056E6">
      <w:pPr>
        <w:pStyle w:val="TextunderNumbered"/>
        <w:numPr>
          <w:ilvl w:val="1"/>
          <w:numId w:val="17"/>
        </w:numPr>
        <w:shd w:val="clear" w:color="auto" w:fill="auto"/>
        <w:ind w:left="426" w:hanging="568"/>
      </w:pPr>
      <w:r w:rsidRPr="00542154">
        <w:rPr>
          <w:b/>
          <w:bCs/>
        </w:rPr>
        <w:t>Table 5</w:t>
      </w:r>
      <w:r w:rsidRPr="009160D9">
        <w:t xml:space="preserve"> provides the specific data on the University action following a report to the University and/or Police.</w:t>
      </w:r>
    </w:p>
    <w:tbl>
      <w:tblPr>
        <w:tblStyle w:val="TableGrid"/>
        <w:tblW w:w="5000" w:type="pct"/>
        <w:tblLook w:val="04A0" w:firstRow="1" w:lastRow="0" w:firstColumn="1" w:lastColumn="0" w:noHBand="0" w:noVBand="1"/>
      </w:tblPr>
      <w:tblGrid>
        <w:gridCol w:w="8500"/>
        <w:gridCol w:w="1129"/>
      </w:tblGrid>
      <w:tr w:rsidR="00F12833" w:rsidRPr="00990003" w14:paraId="3FA33335" w14:textId="77777777" w:rsidTr="002A0835">
        <w:trPr>
          <w:trHeight w:val="340"/>
        </w:trPr>
        <w:tc>
          <w:tcPr>
            <w:tcW w:w="5000" w:type="pct"/>
            <w:gridSpan w:val="2"/>
            <w:shd w:val="clear" w:color="auto" w:fill="4BACC6" w:themeFill="accent5"/>
            <w:vAlign w:val="center"/>
          </w:tcPr>
          <w:p w14:paraId="600BCC23" w14:textId="70EB7426" w:rsidR="00F12833" w:rsidRPr="00990003" w:rsidRDefault="00F12833" w:rsidP="002A0835">
            <w:pPr>
              <w:jc w:val="left"/>
              <w:rPr>
                <w:rFonts w:cs="Arial"/>
                <w:b/>
                <w:sz w:val="20"/>
                <w:szCs w:val="20"/>
              </w:rPr>
            </w:pPr>
            <w:r w:rsidRPr="00990003">
              <w:rPr>
                <w:rFonts w:cs="Arial"/>
                <w:b/>
                <w:sz w:val="20"/>
                <w:szCs w:val="20"/>
              </w:rPr>
              <w:t xml:space="preserve">Table 5. University Action Following Formal Reports made during the </w:t>
            </w:r>
            <w:r w:rsidR="00D16698">
              <w:rPr>
                <w:rFonts w:cs="Arial"/>
                <w:b/>
                <w:sz w:val="20"/>
                <w:szCs w:val="20"/>
              </w:rPr>
              <w:t>2022/23</w:t>
            </w:r>
            <w:r w:rsidRPr="00990003">
              <w:rPr>
                <w:rFonts w:cs="Arial"/>
                <w:b/>
                <w:sz w:val="20"/>
                <w:szCs w:val="20"/>
              </w:rPr>
              <w:t xml:space="preserve"> Academic Year</w:t>
            </w:r>
          </w:p>
        </w:tc>
      </w:tr>
      <w:tr w:rsidR="00F12833" w:rsidRPr="00990003" w14:paraId="05C43457" w14:textId="77777777" w:rsidTr="002A0835">
        <w:trPr>
          <w:trHeight w:val="340"/>
        </w:trPr>
        <w:tc>
          <w:tcPr>
            <w:tcW w:w="5000" w:type="pct"/>
            <w:gridSpan w:val="2"/>
            <w:shd w:val="clear" w:color="auto" w:fill="92CDDC" w:themeFill="accent5" w:themeFillTint="99"/>
            <w:vAlign w:val="center"/>
          </w:tcPr>
          <w:p w14:paraId="72F03F95" w14:textId="70FA3372" w:rsidR="00F12833" w:rsidRPr="00990003" w:rsidRDefault="00F12833" w:rsidP="002A0835">
            <w:pPr>
              <w:jc w:val="left"/>
              <w:rPr>
                <w:rFonts w:cs="Arial"/>
                <w:b/>
                <w:sz w:val="20"/>
                <w:szCs w:val="20"/>
              </w:rPr>
            </w:pPr>
            <w:r w:rsidRPr="00990003">
              <w:rPr>
                <w:rFonts w:cs="Arial"/>
                <w:b/>
                <w:sz w:val="20"/>
                <w:szCs w:val="20"/>
              </w:rPr>
              <w:t>Formal Reports</w:t>
            </w:r>
            <w:r w:rsidR="001615CF">
              <w:rPr>
                <w:rFonts w:cs="Arial"/>
                <w:b/>
                <w:sz w:val="20"/>
                <w:szCs w:val="20"/>
              </w:rPr>
              <w:t>*</w:t>
            </w:r>
          </w:p>
        </w:tc>
      </w:tr>
      <w:tr w:rsidR="00F12833" w:rsidRPr="00990003" w14:paraId="3FA59A0A" w14:textId="77777777" w:rsidTr="002A0835">
        <w:trPr>
          <w:trHeight w:val="340"/>
        </w:trPr>
        <w:tc>
          <w:tcPr>
            <w:tcW w:w="4414" w:type="pct"/>
            <w:shd w:val="clear" w:color="auto" w:fill="FFFFFF" w:themeFill="background1"/>
            <w:vAlign w:val="center"/>
          </w:tcPr>
          <w:p w14:paraId="53188ECC" w14:textId="5BB7C5A8" w:rsidR="00F12833" w:rsidRPr="00990003" w:rsidRDefault="00F12833" w:rsidP="002A0835">
            <w:pPr>
              <w:jc w:val="left"/>
              <w:rPr>
                <w:rFonts w:cs="Arial"/>
                <w:b/>
                <w:bCs/>
                <w:sz w:val="20"/>
                <w:szCs w:val="20"/>
              </w:rPr>
            </w:pPr>
            <w:r w:rsidRPr="00990003">
              <w:rPr>
                <w:rFonts w:cs="Arial"/>
                <w:b/>
                <w:bCs/>
                <w:sz w:val="20"/>
                <w:szCs w:val="20"/>
              </w:rPr>
              <w:t>Reports made to the University</w:t>
            </w:r>
          </w:p>
        </w:tc>
        <w:tc>
          <w:tcPr>
            <w:tcW w:w="586" w:type="pct"/>
            <w:shd w:val="clear" w:color="auto" w:fill="DAEEF3" w:themeFill="accent5" w:themeFillTint="33"/>
            <w:vAlign w:val="center"/>
          </w:tcPr>
          <w:p w14:paraId="702B13DB" w14:textId="39E4732E" w:rsidR="00F12833" w:rsidRPr="00990003" w:rsidRDefault="0051139E" w:rsidP="002A0835">
            <w:pPr>
              <w:jc w:val="center"/>
              <w:rPr>
                <w:rFonts w:cs="Arial"/>
                <w:b/>
                <w:bCs/>
                <w:sz w:val="20"/>
                <w:szCs w:val="20"/>
              </w:rPr>
            </w:pPr>
            <w:r>
              <w:rPr>
                <w:rFonts w:cs="Arial"/>
                <w:b/>
                <w:bCs/>
                <w:sz w:val="20"/>
                <w:szCs w:val="20"/>
              </w:rPr>
              <w:t>108</w:t>
            </w:r>
          </w:p>
        </w:tc>
      </w:tr>
      <w:tr w:rsidR="00577C8C" w:rsidRPr="00990003" w14:paraId="41F342E3" w14:textId="77777777" w:rsidTr="002A0835">
        <w:trPr>
          <w:trHeight w:val="340"/>
        </w:trPr>
        <w:tc>
          <w:tcPr>
            <w:tcW w:w="4414" w:type="pct"/>
            <w:shd w:val="clear" w:color="auto" w:fill="FFFFFF" w:themeFill="background1"/>
            <w:vAlign w:val="center"/>
          </w:tcPr>
          <w:p w14:paraId="6854EA09" w14:textId="25929D2C" w:rsidR="00577C8C" w:rsidRPr="00990003" w:rsidRDefault="00577C8C" w:rsidP="007270E7">
            <w:pPr>
              <w:ind w:left="720"/>
              <w:jc w:val="left"/>
              <w:rPr>
                <w:rFonts w:cs="Arial"/>
                <w:b/>
                <w:bCs/>
                <w:sz w:val="20"/>
                <w:szCs w:val="20"/>
              </w:rPr>
            </w:pPr>
            <w:r w:rsidRPr="00990003">
              <w:rPr>
                <w:rFonts w:cs="Arial"/>
                <w:b/>
                <w:bCs/>
                <w:sz w:val="20"/>
                <w:szCs w:val="20"/>
              </w:rPr>
              <w:t xml:space="preserve">Confirmed Reports </w:t>
            </w:r>
            <w:r w:rsidR="008B066F" w:rsidRPr="00990003">
              <w:rPr>
                <w:rFonts w:cs="Arial"/>
                <w:b/>
                <w:bCs/>
                <w:sz w:val="20"/>
                <w:szCs w:val="20"/>
              </w:rPr>
              <w:t xml:space="preserve">Investigated </w:t>
            </w:r>
            <w:r w:rsidRPr="00990003">
              <w:rPr>
                <w:rFonts w:cs="Arial"/>
                <w:b/>
                <w:bCs/>
                <w:sz w:val="20"/>
                <w:szCs w:val="20"/>
              </w:rPr>
              <w:t xml:space="preserve">by the </w:t>
            </w:r>
            <w:r w:rsidR="008B066F" w:rsidRPr="00990003">
              <w:rPr>
                <w:rFonts w:cs="Arial"/>
                <w:b/>
                <w:bCs/>
                <w:sz w:val="20"/>
                <w:szCs w:val="20"/>
              </w:rPr>
              <w:t>Student Conduct Office/Human Resources</w:t>
            </w:r>
            <w:r w:rsidRPr="00990003">
              <w:rPr>
                <w:rFonts w:cs="Arial"/>
                <w:b/>
                <w:bCs/>
                <w:sz w:val="20"/>
                <w:szCs w:val="20"/>
              </w:rPr>
              <w:t xml:space="preserve"> </w:t>
            </w:r>
            <w:r w:rsidR="00530819">
              <w:rPr>
                <w:rFonts w:cs="Arial"/>
                <w:b/>
                <w:bCs/>
                <w:sz w:val="20"/>
                <w:szCs w:val="20"/>
              </w:rPr>
              <w:t>under the SMV Policy, includes cases in progress</w:t>
            </w:r>
          </w:p>
        </w:tc>
        <w:tc>
          <w:tcPr>
            <w:tcW w:w="586" w:type="pct"/>
            <w:shd w:val="clear" w:color="auto" w:fill="DAEEF3" w:themeFill="accent5" w:themeFillTint="33"/>
            <w:vAlign w:val="center"/>
          </w:tcPr>
          <w:p w14:paraId="1CA35B53" w14:textId="6DAAF17F" w:rsidR="00577C8C" w:rsidRPr="00990003" w:rsidRDefault="00530819" w:rsidP="002A0835">
            <w:pPr>
              <w:jc w:val="center"/>
              <w:rPr>
                <w:rFonts w:cs="Arial"/>
                <w:b/>
                <w:sz w:val="20"/>
                <w:szCs w:val="20"/>
              </w:rPr>
            </w:pPr>
            <w:r>
              <w:rPr>
                <w:rFonts w:cs="Arial"/>
                <w:b/>
                <w:sz w:val="20"/>
                <w:szCs w:val="20"/>
              </w:rPr>
              <w:t>62</w:t>
            </w:r>
          </w:p>
        </w:tc>
      </w:tr>
      <w:tr w:rsidR="00530819" w:rsidRPr="00990003" w14:paraId="36BFC55C" w14:textId="77777777" w:rsidTr="002A0835">
        <w:trPr>
          <w:trHeight w:val="340"/>
        </w:trPr>
        <w:tc>
          <w:tcPr>
            <w:tcW w:w="4414" w:type="pct"/>
            <w:shd w:val="clear" w:color="auto" w:fill="FFFFFF" w:themeFill="background1"/>
            <w:vAlign w:val="center"/>
          </w:tcPr>
          <w:p w14:paraId="345876F2" w14:textId="4889DA18" w:rsidR="00530819" w:rsidRPr="00946FDE" w:rsidRDefault="00530819" w:rsidP="007270E7">
            <w:pPr>
              <w:ind w:left="720"/>
              <w:jc w:val="left"/>
              <w:rPr>
                <w:rFonts w:cs="Arial"/>
                <w:sz w:val="20"/>
                <w:szCs w:val="20"/>
              </w:rPr>
            </w:pPr>
            <w:r w:rsidRPr="00946FDE">
              <w:rPr>
                <w:rFonts w:cs="Arial"/>
                <w:sz w:val="20"/>
                <w:szCs w:val="20"/>
              </w:rPr>
              <w:t>Confirmed Reports Investigated by the Student Conduct Office/Human Resources under a different University Policy</w:t>
            </w:r>
          </w:p>
        </w:tc>
        <w:tc>
          <w:tcPr>
            <w:tcW w:w="586" w:type="pct"/>
            <w:shd w:val="clear" w:color="auto" w:fill="DAEEF3" w:themeFill="accent5" w:themeFillTint="33"/>
            <w:vAlign w:val="center"/>
          </w:tcPr>
          <w:p w14:paraId="40D7ED84" w14:textId="49352298" w:rsidR="00530819" w:rsidRPr="00946FDE" w:rsidRDefault="00530819" w:rsidP="002A0835">
            <w:pPr>
              <w:jc w:val="center"/>
              <w:rPr>
                <w:rFonts w:cs="Arial"/>
                <w:sz w:val="20"/>
                <w:szCs w:val="20"/>
              </w:rPr>
            </w:pPr>
            <w:r w:rsidRPr="00946FDE">
              <w:rPr>
                <w:rFonts w:cs="Arial"/>
                <w:sz w:val="20"/>
                <w:szCs w:val="20"/>
              </w:rPr>
              <w:t>&lt;5</w:t>
            </w:r>
          </w:p>
        </w:tc>
      </w:tr>
      <w:tr w:rsidR="007270E7" w:rsidRPr="00990003" w14:paraId="6B1B4DA3" w14:textId="77777777" w:rsidTr="002A0835">
        <w:trPr>
          <w:trHeight w:val="340"/>
        </w:trPr>
        <w:tc>
          <w:tcPr>
            <w:tcW w:w="4414" w:type="pct"/>
            <w:shd w:val="clear" w:color="auto" w:fill="FFFFFF" w:themeFill="background1"/>
            <w:vAlign w:val="center"/>
          </w:tcPr>
          <w:p w14:paraId="631BE045" w14:textId="397D6E0B" w:rsidR="007270E7" w:rsidRPr="00990003" w:rsidRDefault="007270E7" w:rsidP="007270E7">
            <w:pPr>
              <w:ind w:left="720"/>
              <w:jc w:val="left"/>
              <w:rPr>
                <w:rFonts w:cs="Arial"/>
                <w:sz w:val="20"/>
                <w:szCs w:val="20"/>
              </w:rPr>
            </w:pPr>
            <w:r w:rsidRPr="00990003">
              <w:rPr>
                <w:rFonts w:cs="Arial"/>
                <w:sz w:val="20"/>
                <w:szCs w:val="20"/>
              </w:rPr>
              <w:t xml:space="preserve">Unconfirmed </w:t>
            </w:r>
            <w:r w:rsidR="00E403AB" w:rsidRPr="00990003">
              <w:rPr>
                <w:rFonts w:cs="Arial"/>
                <w:sz w:val="20"/>
                <w:szCs w:val="20"/>
              </w:rPr>
              <w:t>r</w:t>
            </w:r>
            <w:r w:rsidRPr="00990003">
              <w:rPr>
                <w:rFonts w:cs="Arial"/>
                <w:sz w:val="20"/>
                <w:szCs w:val="20"/>
              </w:rPr>
              <w:t>eport</w:t>
            </w:r>
            <w:r w:rsidR="00E403AB" w:rsidRPr="00990003">
              <w:rPr>
                <w:rFonts w:cs="Arial"/>
                <w:sz w:val="20"/>
                <w:szCs w:val="20"/>
              </w:rPr>
              <w:t>s</w:t>
            </w:r>
            <w:r w:rsidRPr="00990003">
              <w:rPr>
                <w:rFonts w:cs="Arial"/>
                <w:sz w:val="20"/>
                <w:szCs w:val="20"/>
              </w:rPr>
              <w:t xml:space="preserve"> that did not proceed to investigation </w:t>
            </w:r>
          </w:p>
        </w:tc>
        <w:tc>
          <w:tcPr>
            <w:tcW w:w="586" w:type="pct"/>
            <w:shd w:val="clear" w:color="auto" w:fill="DAEEF3" w:themeFill="accent5" w:themeFillTint="33"/>
            <w:vAlign w:val="center"/>
          </w:tcPr>
          <w:p w14:paraId="3F779EFE" w14:textId="25FDDF00" w:rsidR="007270E7" w:rsidRPr="00990003" w:rsidRDefault="00530819" w:rsidP="002A0835">
            <w:pPr>
              <w:jc w:val="center"/>
              <w:rPr>
                <w:rFonts w:cs="Arial"/>
                <w:bCs/>
                <w:sz w:val="20"/>
                <w:szCs w:val="20"/>
              </w:rPr>
            </w:pPr>
            <w:r>
              <w:rPr>
                <w:rFonts w:cs="Arial"/>
                <w:bCs/>
                <w:sz w:val="20"/>
                <w:szCs w:val="20"/>
              </w:rPr>
              <w:t>21</w:t>
            </w:r>
          </w:p>
        </w:tc>
      </w:tr>
      <w:tr w:rsidR="007270E7" w:rsidRPr="00990003" w14:paraId="7C7B2C9D" w14:textId="77777777" w:rsidTr="002A0835">
        <w:trPr>
          <w:trHeight w:val="340"/>
        </w:trPr>
        <w:tc>
          <w:tcPr>
            <w:tcW w:w="4414" w:type="pct"/>
            <w:shd w:val="clear" w:color="auto" w:fill="FFFFFF" w:themeFill="background1"/>
            <w:vAlign w:val="center"/>
          </w:tcPr>
          <w:p w14:paraId="6BED8E5C" w14:textId="2222220A" w:rsidR="007270E7" w:rsidRPr="00990003" w:rsidRDefault="007270E7" w:rsidP="007270E7">
            <w:pPr>
              <w:ind w:left="720"/>
              <w:jc w:val="left"/>
              <w:rPr>
                <w:rFonts w:cs="Arial"/>
                <w:sz w:val="20"/>
                <w:szCs w:val="20"/>
              </w:rPr>
            </w:pPr>
            <w:r w:rsidRPr="00990003">
              <w:rPr>
                <w:rFonts w:cs="Arial"/>
                <w:sz w:val="20"/>
                <w:szCs w:val="20"/>
              </w:rPr>
              <w:t>Reports the University could not investigate, e.g</w:t>
            </w:r>
            <w:r w:rsidR="00946FDE">
              <w:rPr>
                <w:rFonts w:cs="Arial"/>
                <w:sz w:val="20"/>
                <w:szCs w:val="20"/>
              </w:rPr>
              <w:t>.,</w:t>
            </w:r>
            <w:r w:rsidRPr="00990003">
              <w:rPr>
                <w:rFonts w:cs="Arial"/>
                <w:sz w:val="20"/>
                <w:szCs w:val="20"/>
              </w:rPr>
              <w:t xml:space="preserve"> the Responding Party could not be identified</w:t>
            </w:r>
            <w:r w:rsidR="00530819">
              <w:rPr>
                <w:rFonts w:cs="Arial"/>
                <w:sz w:val="20"/>
                <w:szCs w:val="20"/>
              </w:rPr>
              <w:t>, the Responding Party was not affiliated to the University, or the investigation is on hold pending the criminal justice outcome</w:t>
            </w:r>
          </w:p>
        </w:tc>
        <w:tc>
          <w:tcPr>
            <w:tcW w:w="586" w:type="pct"/>
            <w:shd w:val="clear" w:color="auto" w:fill="DAEEF3" w:themeFill="accent5" w:themeFillTint="33"/>
            <w:vAlign w:val="center"/>
          </w:tcPr>
          <w:p w14:paraId="137B4E65" w14:textId="7EB83DE5" w:rsidR="007270E7" w:rsidRPr="00990003" w:rsidRDefault="00946FDE" w:rsidP="002A0835">
            <w:pPr>
              <w:jc w:val="center"/>
              <w:rPr>
                <w:rFonts w:cs="Arial"/>
                <w:bCs/>
                <w:sz w:val="20"/>
                <w:szCs w:val="20"/>
              </w:rPr>
            </w:pPr>
            <w:r>
              <w:rPr>
                <w:rFonts w:cs="Arial"/>
                <w:bCs/>
                <w:sz w:val="20"/>
                <w:szCs w:val="20"/>
              </w:rPr>
              <w:t>21</w:t>
            </w:r>
          </w:p>
        </w:tc>
      </w:tr>
      <w:tr w:rsidR="00F12833" w:rsidRPr="00990003" w14:paraId="1F89262B" w14:textId="77777777" w:rsidTr="002A0835">
        <w:trPr>
          <w:trHeight w:val="340"/>
        </w:trPr>
        <w:tc>
          <w:tcPr>
            <w:tcW w:w="4414" w:type="pct"/>
            <w:shd w:val="clear" w:color="auto" w:fill="FFFFFF" w:themeFill="background1"/>
            <w:vAlign w:val="center"/>
          </w:tcPr>
          <w:p w14:paraId="4F13579C" w14:textId="3876E6C6" w:rsidR="00F12833" w:rsidRPr="00990003" w:rsidRDefault="00F12833" w:rsidP="002A0835">
            <w:pPr>
              <w:jc w:val="left"/>
              <w:rPr>
                <w:rFonts w:cs="Arial"/>
                <w:b/>
                <w:bCs/>
                <w:sz w:val="20"/>
                <w:szCs w:val="20"/>
              </w:rPr>
            </w:pPr>
            <w:r w:rsidRPr="00990003">
              <w:rPr>
                <w:rFonts w:cs="Arial"/>
                <w:b/>
                <w:bCs/>
                <w:sz w:val="20"/>
                <w:szCs w:val="20"/>
              </w:rPr>
              <w:t>Reports made to the Police</w:t>
            </w:r>
          </w:p>
        </w:tc>
        <w:tc>
          <w:tcPr>
            <w:tcW w:w="586" w:type="pct"/>
            <w:shd w:val="clear" w:color="auto" w:fill="DAEEF3" w:themeFill="accent5" w:themeFillTint="33"/>
            <w:vAlign w:val="center"/>
          </w:tcPr>
          <w:p w14:paraId="3414DDAE" w14:textId="47B37BD2" w:rsidR="00F12833" w:rsidRPr="00990003" w:rsidRDefault="0051139E" w:rsidP="002A0835">
            <w:pPr>
              <w:jc w:val="center"/>
              <w:rPr>
                <w:rFonts w:cs="Arial"/>
                <w:b/>
                <w:bCs/>
                <w:sz w:val="20"/>
                <w:szCs w:val="20"/>
              </w:rPr>
            </w:pPr>
            <w:r>
              <w:rPr>
                <w:rFonts w:cs="Arial"/>
                <w:b/>
                <w:bCs/>
                <w:sz w:val="20"/>
                <w:szCs w:val="20"/>
              </w:rPr>
              <w:t>72</w:t>
            </w:r>
          </w:p>
        </w:tc>
      </w:tr>
      <w:tr w:rsidR="007270E7" w:rsidRPr="00990003" w14:paraId="4F968D52" w14:textId="77777777" w:rsidTr="002A0835">
        <w:trPr>
          <w:trHeight w:val="340"/>
        </w:trPr>
        <w:tc>
          <w:tcPr>
            <w:tcW w:w="4414" w:type="pct"/>
            <w:shd w:val="clear" w:color="auto" w:fill="FFFFFF" w:themeFill="background1"/>
            <w:vAlign w:val="center"/>
          </w:tcPr>
          <w:p w14:paraId="3FA10381" w14:textId="1A0642C7" w:rsidR="007270E7" w:rsidRPr="00990003" w:rsidRDefault="007270E7" w:rsidP="007270E7">
            <w:pPr>
              <w:ind w:left="720"/>
              <w:jc w:val="left"/>
              <w:rPr>
                <w:rFonts w:cs="Arial"/>
                <w:b/>
                <w:bCs/>
                <w:sz w:val="20"/>
                <w:szCs w:val="20"/>
              </w:rPr>
            </w:pPr>
            <w:r w:rsidRPr="00990003">
              <w:rPr>
                <w:rFonts w:cs="Arial"/>
                <w:b/>
                <w:bCs/>
                <w:sz w:val="20"/>
                <w:szCs w:val="20"/>
              </w:rPr>
              <w:t xml:space="preserve">Responding Party was affiliated with Durham University </w:t>
            </w:r>
          </w:p>
        </w:tc>
        <w:tc>
          <w:tcPr>
            <w:tcW w:w="586" w:type="pct"/>
            <w:shd w:val="clear" w:color="auto" w:fill="DAEEF3" w:themeFill="accent5" w:themeFillTint="33"/>
            <w:vAlign w:val="center"/>
          </w:tcPr>
          <w:p w14:paraId="1F104E3F" w14:textId="7D450258" w:rsidR="007270E7" w:rsidRPr="00990003" w:rsidRDefault="00946FDE" w:rsidP="002A0835">
            <w:pPr>
              <w:jc w:val="center"/>
              <w:rPr>
                <w:rFonts w:cs="Arial"/>
                <w:b/>
                <w:sz w:val="20"/>
                <w:szCs w:val="20"/>
              </w:rPr>
            </w:pPr>
            <w:r>
              <w:rPr>
                <w:rFonts w:cs="Arial"/>
                <w:b/>
                <w:sz w:val="20"/>
                <w:szCs w:val="20"/>
              </w:rPr>
              <w:t>46</w:t>
            </w:r>
          </w:p>
        </w:tc>
      </w:tr>
      <w:tr w:rsidR="007270E7" w:rsidRPr="00990003" w14:paraId="47A62445" w14:textId="77777777" w:rsidTr="002A0835">
        <w:trPr>
          <w:trHeight w:val="340"/>
        </w:trPr>
        <w:tc>
          <w:tcPr>
            <w:tcW w:w="4414" w:type="pct"/>
            <w:shd w:val="clear" w:color="auto" w:fill="FFFFFF" w:themeFill="background1"/>
            <w:vAlign w:val="center"/>
          </w:tcPr>
          <w:p w14:paraId="43E31430" w14:textId="7BD70421" w:rsidR="007270E7" w:rsidRPr="00990003" w:rsidRDefault="007270E7" w:rsidP="007270E7">
            <w:pPr>
              <w:ind w:left="720"/>
              <w:jc w:val="left"/>
              <w:rPr>
                <w:rFonts w:cs="Arial"/>
                <w:sz w:val="20"/>
                <w:szCs w:val="20"/>
              </w:rPr>
            </w:pPr>
            <w:r w:rsidRPr="00990003">
              <w:rPr>
                <w:rFonts w:cs="Arial"/>
                <w:sz w:val="20"/>
                <w:szCs w:val="20"/>
              </w:rPr>
              <w:t xml:space="preserve">Responding Party was not affiliated with Durham University or not identified </w:t>
            </w:r>
          </w:p>
        </w:tc>
        <w:tc>
          <w:tcPr>
            <w:tcW w:w="586" w:type="pct"/>
            <w:shd w:val="clear" w:color="auto" w:fill="DAEEF3" w:themeFill="accent5" w:themeFillTint="33"/>
            <w:vAlign w:val="center"/>
          </w:tcPr>
          <w:p w14:paraId="798A3F2A" w14:textId="7235AAC5" w:rsidR="007270E7" w:rsidRPr="00990003" w:rsidRDefault="00946FDE" w:rsidP="002A0835">
            <w:pPr>
              <w:jc w:val="center"/>
              <w:rPr>
                <w:rFonts w:cs="Arial"/>
                <w:bCs/>
                <w:sz w:val="20"/>
                <w:szCs w:val="20"/>
              </w:rPr>
            </w:pPr>
            <w:r>
              <w:rPr>
                <w:rFonts w:cs="Arial"/>
                <w:bCs/>
                <w:sz w:val="20"/>
                <w:szCs w:val="20"/>
              </w:rPr>
              <w:t>26</w:t>
            </w:r>
          </w:p>
        </w:tc>
      </w:tr>
      <w:tr w:rsidR="00F12833" w:rsidRPr="00990003" w14:paraId="27DAE543" w14:textId="77777777" w:rsidTr="002A0835">
        <w:trPr>
          <w:trHeight w:val="340"/>
        </w:trPr>
        <w:tc>
          <w:tcPr>
            <w:tcW w:w="5000" w:type="pct"/>
            <w:gridSpan w:val="2"/>
            <w:shd w:val="clear" w:color="auto" w:fill="92CDDC" w:themeFill="accent5" w:themeFillTint="99"/>
            <w:vAlign w:val="center"/>
          </w:tcPr>
          <w:p w14:paraId="6B89FDCF" w14:textId="42302DDD" w:rsidR="00F12833" w:rsidRPr="00990003" w:rsidRDefault="00F12833" w:rsidP="002A0835">
            <w:pPr>
              <w:jc w:val="left"/>
              <w:rPr>
                <w:rFonts w:cs="Arial"/>
                <w:sz w:val="20"/>
                <w:szCs w:val="20"/>
              </w:rPr>
            </w:pPr>
            <w:r w:rsidRPr="00990003">
              <w:rPr>
                <w:rFonts w:cs="Arial"/>
                <w:b/>
                <w:sz w:val="20"/>
                <w:szCs w:val="20"/>
              </w:rPr>
              <w:t>Precautionary Measures</w:t>
            </w:r>
            <w:r w:rsidR="001615CF" w:rsidRPr="00990003">
              <w:rPr>
                <w:rFonts w:cs="Arial"/>
                <w:color w:val="222222"/>
                <w:vertAlign w:val="superscript"/>
              </w:rPr>
              <w:t>†</w:t>
            </w:r>
            <w:r w:rsidRPr="00990003">
              <w:rPr>
                <w:rFonts w:cs="Arial"/>
                <w:b/>
                <w:sz w:val="20"/>
                <w:szCs w:val="20"/>
              </w:rPr>
              <w:t xml:space="preserve"> Imposed during a</w:t>
            </w:r>
            <w:r w:rsidR="002B381E" w:rsidRPr="00990003">
              <w:rPr>
                <w:rFonts w:cs="Arial"/>
                <w:b/>
                <w:sz w:val="20"/>
                <w:szCs w:val="20"/>
              </w:rPr>
              <w:t xml:space="preserve"> Police and/or University</w:t>
            </w:r>
            <w:r w:rsidRPr="00990003">
              <w:rPr>
                <w:rFonts w:cs="Arial"/>
                <w:b/>
                <w:sz w:val="20"/>
                <w:szCs w:val="20"/>
              </w:rPr>
              <w:t xml:space="preserve"> Investigation</w:t>
            </w:r>
            <w:r w:rsidR="007270E7" w:rsidRPr="00990003">
              <w:rPr>
                <w:rFonts w:cs="Arial"/>
                <w:b/>
                <w:sz w:val="20"/>
                <w:szCs w:val="20"/>
              </w:rPr>
              <w:t xml:space="preserve"> (n=</w:t>
            </w:r>
            <w:r w:rsidR="00541099" w:rsidRPr="00541099">
              <w:rPr>
                <w:b/>
              </w:rPr>
              <w:t>74</w:t>
            </w:r>
            <w:r w:rsidR="002B381E" w:rsidRPr="00541099">
              <w:rPr>
                <w:rFonts w:cs="Arial"/>
                <w:b/>
                <w:sz w:val="20"/>
                <w:szCs w:val="20"/>
              </w:rPr>
              <w:t>)</w:t>
            </w:r>
          </w:p>
        </w:tc>
      </w:tr>
      <w:tr w:rsidR="005D7C5E" w:rsidRPr="00990003" w14:paraId="736D7B50" w14:textId="77777777" w:rsidTr="00AE433E">
        <w:trPr>
          <w:trHeight w:val="340"/>
        </w:trPr>
        <w:tc>
          <w:tcPr>
            <w:tcW w:w="4414" w:type="pct"/>
            <w:shd w:val="clear" w:color="auto" w:fill="FFFFFF" w:themeFill="background1"/>
            <w:vAlign w:val="center"/>
          </w:tcPr>
          <w:p w14:paraId="7D22F1A6" w14:textId="52D46976" w:rsidR="005D7C5E" w:rsidRPr="00990003" w:rsidRDefault="005D7C5E" w:rsidP="005D7C5E">
            <w:pPr>
              <w:jc w:val="left"/>
              <w:rPr>
                <w:rFonts w:cs="Arial"/>
                <w:sz w:val="20"/>
                <w:szCs w:val="20"/>
              </w:rPr>
            </w:pPr>
            <w:r w:rsidRPr="00990003">
              <w:rPr>
                <w:rFonts w:cs="Arial"/>
                <w:sz w:val="20"/>
                <w:szCs w:val="20"/>
              </w:rPr>
              <w:t>Full Suspension</w:t>
            </w:r>
          </w:p>
        </w:tc>
        <w:tc>
          <w:tcPr>
            <w:tcW w:w="586" w:type="pct"/>
            <w:shd w:val="clear" w:color="auto" w:fill="DAEEF3" w:themeFill="accent5" w:themeFillTint="33"/>
            <w:vAlign w:val="center"/>
          </w:tcPr>
          <w:p w14:paraId="409D73BA" w14:textId="1C44D401" w:rsidR="005D7C5E" w:rsidRPr="00990003" w:rsidRDefault="00541099" w:rsidP="005D7C5E">
            <w:pPr>
              <w:jc w:val="center"/>
              <w:rPr>
                <w:rFonts w:cs="Arial"/>
                <w:bCs/>
                <w:sz w:val="20"/>
                <w:szCs w:val="20"/>
              </w:rPr>
            </w:pPr>
            <w:r>
              <w:rPr>
                <w:rFonts w:cs="Arial"/>
                <w:bCs/>
                <w:sz w:val="20"/>
                <w:szCs w:val="20"/>
              </w:rPr>
              <w:t>9</w:t>
            </w:r>
          </w:p>
        </w:tc>
      </w:tr>
      <w:tr w:rsidR="005D7C5E" w:rsidRPr="00990003" w14:paraId="06868C14" w14:textId="77777777" w:rsidTr="00652AA1">
        <w:trPr>
          <w:trHeight w:val="340"/>
        </w:trPr>
        <w:tc>
          <w:tcPr>
            <w:tcW w:w="4414" w:type="pct"/>
            <w:shd w:val="clear" w:color="auto" w:fill="FFFFFF" w:themeFill="background1"/>
            <w:vAlign w:val="center"/>
          </w:tcPr>
          <w:p w14:paraId="3A2E2CF9" w14:textId="2FCBFC98" w:rsidR="005D7C5E" w:rsidRPr="00990003" w:rsidRDefault="005D7C5E" w:rsidP="005D7C5E">
            <w:pPr>
              <w:jc w:val="left"/>
              <w:rPr>
                <w:rFonts w:cs="Arial"/>
                <w:sz w:val="20"/>
                <w:szCs w:val="20"/>
              </w:rPr>
            </w:pPr>
            <w:r w:rsidRPr="00990003">
              <w:rPr>
                <w:rFonts w:cs="Arial"/>
                <w:sz w:val="20"/>
                <w:szCs w:val="20"/>
              </w:rPr>
              <w:t>Partial Suspension</w:t>
            </w:r>
          </w:p>
        </w:tc>
        <w:tc>
          <w:tcPr>
            <w:tcW w:w="586" w:type="pct"/>
            <w:shd w:val="clear" w:color="auto" w:fill="DAEEF3" w:themeFill="accent5" w:themeFillTint="33"/>
          </w:tcPr>
          <w:p w14:paraId="18802134" w14:textId="12400A15" w:rsidR="005D7C5E" w:rsidRPr="00990003" w:rsidRDefault="00541099" w:rsidP="005D7C5E">
            <w:pPr>
              <w:jc w:val="center"/>
              <w:rPr>
                <w:rFonts w:cs="Arial"/>
                <w:bCs/>
                <w:sz w:val="20"/>
                <w:szCs w:val="20"/>
              </w:rPr>
            </w:pPr>
            <w:r>
              <w:rPr>
                <w:rFonts w:cs="Arial"/>
                <w:bCs/>
                <w:sz w:val="20"/>
                <w:szCs w:val="20"/>
              </w:rPr>
              <w:t>23</w:t>
            </w:r>
          </w:p>
        </w:tc>
      </w:tr>
      <w:tr w:rsidR="005D7C5E" w:rsidRPr="00990003" w14:paraId="424C6F33" w14:textId="77777777" w:rsidTr="00A34174">
        <w:trPr>
          <w:trHeight w:val="340"/>
        </w:trPr>
        <w:tc>
          <w:tcPr>
            <w:tcW w:w="4414" w:type="pct"/>
            <w:shd w:val="clear" w:color="auto" w:fill="FFFFFF" w:themeFill="background1"/>
            <w:vAlign w:val="center"/>
          </w:tcPr>
          <w:p w14:paraId="75F52B8F" w14:textId="4CAD2899" w:rsidR="005D7C5E" w:rsidRPr="00990003" w:rsidRDefault="005D7C5E" w:rsidP="005D7C5E">
            <w:pPr>
              <w:jc w:val="left"/>
              <w:rPr>
                <w:rFonts w:cs="Arial"/>
                <w:sz w:val="20"/>
                <w:szCs w:val="20"/>
              </w:rPr>
            </w:pPr>
            <w:r w:rsidRPr="00990003">
              <w:rPr>
                <w:rFonts w:cs="Arial"/>
                <w:sz w:val="20"/>
                <w:szCs w:val="20"/>
              </w:rPr>
              <w:t>No Contact Arrangement</w:t>
            </w:r>
            <w:r w:rsidRPr="00990003">
              <w:rPr>
                <w:rFonts w:cs="Arial"/>
                <w:color w:val="222222"/>
              </w:rPr>
              <w:t xml:space="preserve"> </w:t>
            </w:r>
            <w:r w:rsidR="001615CF" w:rsidRPr="00990003">
              <w:rPr>
                <w:rFonts w:cs="Arial"/>
                <w:color w:val="222222"/>
                <w:vertAlign w:val="superscript"/>
              </w:rPr>
              <w:t>††</w:t>
            </w:r>
            <w:r w:rsidRPr="00990003">
              <w:rPr>
                <w:rFonts w:cs="Arial"/>
                <w:sz w:val="20"/>
                <w:szCs w:val="20"/>
              </w:rPr>
              <w:t xml:space="preserve"> </w:t>
            </w:r>
          </w:p>
        </w:tc>
        <w:tc>
          <w:tcPr>
            <w:tcW w:w="586" w:type="pct"/>
            <w:shd w:val="clear" w:color="auto" w:fill="DAEEF3" w:themeFill="accent5" w:themeFillTint="33"/>
            <w:vAlign w:val="center"/>
          </w:tcPr>
          <w:p w14:paraId="5994F373" w14:textId="4522A430" w:rsidR="005D7C5E" w:rsidRPr="00990003" w:rsidRDefault="00541099" w:rsidP="005D7C5E">
            <w:pPr>
              <w:jc w:val="center"/>
              <w:rPr>
                <w:rFonts w:cs="Arial"/>
                <w:b/>
                <w:sz w:val="20"/>
                <w:szCs w:val="20"/>
              </w:rPr>
            </w:pPr>
            <w:r>
              <w:rPr>
                <w:rFonts w:cs="Arial"/>
                <w:b/>
                <w:sz w:val="20"/>
                <w:szCs w:val="20"/>
              </w:rPr>
              <w:t>38</w:t>
            </w:r>
          </w:p>
        </w:tc>
      </w:tr>
      <w:tr w:rsidR="005D7C5E" w:rsidRPr="00990003" w14:paraId="18B974F9" w14:textId="77777777" w:rsidTr="001A2CE1">
        <w:trPr>
          <w:trHeight w:val="340"/>
        </w:trPr>
        <w:tc>
          <w:tcPr>
            <w:tcW w:w="4414" w:type="pct"/>
            <w:shd w:val="clear" w:color="auto" w:fill="FFFFFF" w:themeFill="background1"/>
            <w:vAlign w:val="center"/>
          </w:tcPr>
          <w:p w14:paraId="54FA6A72" w14:textId="73C9B7A2" w:rsidR="005D7C5E" w:rsidRPr="00990003" w:rsidRDefault="005D7C5E" w:rsidP="005D7C5E">
            <w:pPr>
              <w:jc w:val="left"/>
              <w:rPr>
                <w:rFonts w:cs="Arial"/>
                <w:sz w:val="20"/>
                <w:szCs w:val="20"/>
              </w:rPr>
            </w:pPr>
            <w:r w:rsidRPr="00990003">
              <w:rPr>
                <w:rFonts w:cs="Arial"/>
                <w:sz w:val="20"/>
                <w:szCs w:val="20"/>
              </w:rPr>
              <w:t>Staff Suspension</w:t>
            </w:r>
          </w:p>
        </w:tc>
        <w:tc>
          <w:tcPr>
            <w:tcW w:w="586" w:type="pct"/>
            <w:shd w:val="clear" w:color="auto" w:fill="DAEEF3" w:themeFill="accent5" w:themeFillTint="33"/>
            <w:vAlign w:val="center"/>
          </w:tcPr>
          <w:p w14:paraId="25D28809" w14:textId="0D186F3B" w:rsidR="005D7C5E" w:rsidRPr="00990003" w:rsidRDefault="00843CE3" w:rsidP="005D7C5E">
            <w:pPr>
              <w:jc w:val="center"/>
              <w:rPr>
                <w:rFonts w:cs="Arial"/>
                <w:bCs/>
                <w:sz w:val="20"/>
                <w:szCs w:val="20"/>
              </w:rPr>
            </w:pPr>
            <w:r>
              <w:rPr>
                <w:rFonts w:cs="Arial"/>
                <w:bCs/>
                <w:sz w:val="20"/>
                <w:szCs w:val="20"/>
              </w:rPr>
              <w:t>&lt;5</w:t>
            </w:r>
          </w:p>
        </w:tc>
      </w:tr>
      <w:tr w:rsidR="005D7C5E" w:rsidRPr="00990003" w14:paraId="390DC0F8" w14:textId="77777777" w:rsidTr="002A0835">
        <w:trPr>
          <w:trHeight w:val="340"/>
        </w:trPr>
        <w:tc>
          <w:tcPr>
            <w:tcW w:w="4414" w:type="pct"/>
            <w:shd w:val="clear" w:color="auto" w:fill="FFFFFF" w:themeFill="background1"/>
            <w:vAlign w:val="center"/>
          </w:tcPr>
          <w:p w14:paraId="2CB8B21B" w14:textId="77777777" w:rsidR="005D7C5E" w:rsidRPr="00990003" w:rsidRDefault="005D7C5E" w:rsidP="005D7C5E">
            <w:pPr>
              <w:jc w:val="left"/>
              <w:rPr>
                <w:rFonts w:cs="Arial"/>
                <w:sz w:val="20"/>
                <w:szCs w:val="20"/>
              </w:rPr>
            </w:pPr>
            <w:r w:rsidRPr="00990003">
              <w:rPr>
                <w:rFonts w:cs="Arial"/>
                <w:sz w:val="20"/>
                <w:szCs w:val="20"/>
              </w:rPr>
              <w:t xml:space="preserve">No Precautionary Measure Required </w:t>
            </w:r>
          </w:p>
        </w:tc>
        <w:tc>
          <w:tcPr>
            <w:tcW w:w="586" w:type="pct"/>
            <w:shd w:val="clear" w:color="auto" w:fill="DAEEF3" w:themeFill="accent5" w:themeFillTint="33"/>
            <w:vAlign w:val="center"/>
          </w:tcPr>
          <w:p w14:paraId="449591F8" w14:textId="0155CDE4" w:rsidR="005D7C5E" w:rsidRPr="00990003" w:rsidRDefault="00946FDE" w:rsidP="005D7C5E">
            <w:pPr>
              <w:jc w:val="center"/>
              <w:rPr>
                <w:rFonts w:cs="Arial"/>
                <w:bCs/>
                <w:sz w:val="20"/>
                <w:szCs w:val="20"/>
              </w:rPr>
            </w:pPr>
            <w:r>
              <w:rPr>
                <w:rFonts w:cs="Arial"/>
                <w:bCs/>
                <w:sz w:val="20"/>
                <w:szCs w:val="20"/>
              </w:rPr>
              <w:t>&lt;5</w:t>
            </w:r>
          </w:p>
        </w:tc>
      </w:tr>
      <w:tr w:rsidR="005D7C5E" w:rsidRPr="00990003" w14:paraId="33E63452" w14:textId="77777777" w:rsidTr="002A0835">
        <w:trPr>
          <w:trHeight w:val="340"/>
        </w:trPr>
        <w:tc>
          <w:tcPr>
            <w:tcW w:w="5000" w:type="pct"/>
            <w:gridSpan w:val="2"/>
            <w:shd w:val="clear" w:color="auto" w:fill="92CDDC" w:themeFill="accent5" w:themeFillTint="99"/>
            <w:vAlign w:val="center"/>
          </w:tcPr>
          <w:p w14:paraId="3E85F3C9" w14:textId="77777777" w:rsidR="005D7C5E" w:rsidRPr="00990003" w:rsidRDefault="005D7C5E" w:rsidP="005D7C5E">
            <w:pPr>
              <w:jc w:val="left"/>
              <w:rPr>
                <w:rFonts w:cs="Arial"/>
                <w:sz w:val="20"/>
                <w:szCs w:val="20"/>
              </w:rPr>
            </w:pPr>
            <w:r w:rsidRPr="00990003">
              <w:rPr>
                <w:rFonts w:cs="Arial"/>
                <w:b/>
                <w:sz w:val="20"/>
                <w:szCs w:val="20"/>
              </w:rPr>
              <w:t>Investigation Outcomes following reports made under the SMV Policy</w:t>
            </w:r>
          </w:p>
        </w:tc>
      </w:tr>
      <w:tr w:rsidR="005D7C5E" w:rsidRPr="00990003" w14:paraId="31FC1BAC" w14:textId="77777777" w:rsidTr="002A0835">
        <w:trPr>
          <w:trHeight w:val="340"/>
        </w:trPr>
        <w:tc>
          <w:tcPr>
            <w:tcW w:w="4414" w:type="pct"/>
            <w:shd w:val="clear" w:color="auto" w:fill="FFFFFF" w:themeFill="background1"/>
            <w:vAlign w:val="center"/>
          </w:tcPr>
          <w:p w14:paraId="21720083" w14:textId="77777777" w:rsidR="005D7C5E" w:rsidRPr="00990003" w:rsidRDefault="005D7C5E" w:rsidP="005D7C5E">
            <w:pPr>
              <w:jc w:val="left"/>
              <w:rPr>
                <w:rFonts w:cs="Arial"/>
                <w:sz w:val="20"/>
                <w:szCs w:val="20"/>
              </w:rPr>
            </w:pPr>
            <w:r w:rsidRPr="00990003">
              <w:rPr>
                <w:rFonts w:cs="Arial"/>
                <w:sz w:val="20"/>
                <w:szCs w:val="20"/>
              </w:rPr>
              <w:t xml:space="preserve">No Further Action </w:t>
            </w:r>
          </w:p>
        </w:tc>
        <w:tc>
          <w:tcPr>
            <w:tcW w:w="586" w:type="pct"/>
            <w:shd w:val="clear" w:color="auto" w:fill="DAEEF3" w:themeFill="accent5" w:themeFillTint="33"/>
            <w:vAlign w:val="center"/>
          </w:tcPr>
          <w:p w14:paraId="2D8A6973" w14:textId="0FBBFF32" w:rsidR="005D7C5E" w:rsidRPr="00990003" w:rsidRDefault="00946FDE" w:rsidP="005D7C5E">
            <w:pPr>
              <w:jc w:val="center"/>
              <w:rPr>
                <w:rFonts w:cs="Arial"/>
                <w:bCs/>
                <w:sz w:val="20"/>
                <w:szCs w:val="20"/>
              </w:rPr>
            </w:pPr>
            <w:r>
              <w:rPr>
                <w:rFonts w:cs="Arial"/>
                <w:bCs/>
                <w:sz w:val="20"/>
                <w:szCs w:val="20"/>
              </w:rPr>
              <w:t>15</w:t>
            </w:r>
          </w:p>
        </w:tc>
      </w:tr>
      <w:tr w:rsidR="005D7C5E" w:rsidRPr="00990003" w14:paraId="44026CF2" w14:textId="77777777" w:rsidTr="002A0835">
        <w:trPr>
          <w:trHeight w:val="340"/>
        </w:trPr>
        <w:tc>
          <w:tcPr>
            <w:tcW w:w="4414" w:type="pct"/>
            <w:shd w:val="clear" w:color="auto" w:fill="FFFFFF" w:themeFill="background1"/>
            <w:vAlign w:val="center"/>
          </w:tcPr>
          <w:p w14:paraId="2FBE667C" w14:textId="77777777" w:rsidR="005D7C5E" w:rsidRPr="00990003" w:rsidRDefault="005D7C5E" w:rsidP="005D7C5E">
            <w:pPr>
              <w:jc w:val="left"/>
              <w:rPr>
                <w:rFonts w:cs="Arial"/>
                <w:sz w:val="20"/>
                <w:szCs w:val="20"/>
              </w:rPr>
            </w:pPr>
            <w:r w:rsidRPr="00990003">
              <w:rPr>
                <w:rFonts w:cs="Arial"/>
                <w:sz w:val="20"/>
                <w:szCs w:val="20"/>
              </w:rPr>
              <w:t xml:space="preserve">Non-major breach of SMV Policy = Category 1 Discipline Offence </w:t>
            </w:r>
          </w:p>
        </w:tc>
        <w:tc>
          <w:tcPr>
            <w:tcW w:w="586" w:type="pct"/>
            <w:shd w:val="clear" w:color="auto" w:fill="DAEEF3" w:themeFill="accent5" w:themeFillTint="33"/>
            <w:vAlign w:val="center"/>
          </w:tcPr>
          <w:p w14:paraId="366E6416" w14:textId="643735E1" w:rsidR="005D7C5E" w:rsidRPr="00990003" w:rsidRDefault="00BC5665" w:rsidP="005D7C5E">
            <w:pPr>
              <w:jc w:val="center"/>
              <w:rPr>
                <w:rFonts w:cs="Arial"/>
                <w:bCs/>
                <w:sz w:val="20"/>
                <w:szCs w:val="20"/>
              </w:rPr>
            </w:pPr>
            <w:r>
              <w:rPr>
                <w:rFonts w:cs="Arial"/>
                <w:bCs/>
                <w:sz w:val="20"/>
                <w:szCs w:val="20"/>
              </w:rPr>
              <w:t>12</w:t>
            </w:r>
          </w:p>
        </w:tc>
      </w:tr>
      <w:tr w:rsidR="00541099" w:rsidRPr="00990003" w14:paraId="4285081A" w14:textId="77777777" w:rsidTr="002A0835">
        <w:trPr>
          <w:trHeight w:val="340"/>
        </w:trPr>
        <w:tc>
          <w:tcPr>
            <w:tcW w:w="4414" w:type="pct"/>
            <w:shd w:val="clear" w:color="auto" w:fill="FFFFFF" w:themeFill="background1"/>
            <w:vAlign w:val="center"/>
          </w:tcPr>
          <w:p w14:paraId="3E120CAE" w14:textId="3B602659" w:rsidR="00541099" w:rsidRPr="00990003" w:rsidRDefault="00541099" w:rsidP="005D7C5E">
            <w:pPr>
              <w:jc w:val="left"/>
              <w:rPr>
                <w:rFonts w:cs="Arial"/>
                <w:sz w:val="20"/>
                <w:szCs w:val="20"/>
              </w:rPr>
            </w:pPr>
            <w:r>
              <w:rPr>
                <w:rFonts w:cs="Arial"/>
                <w:sz w:val="20"/>
                <w:szCs w:val="20"/>
              </w:rPr>
              <w:t>Non-major breach of a different policy = Category 1 Discipline Outcome</w:t>
            </w:r>
          </w:p>
        </w:tc>
        <w:tc>
          <w:tcPr>
            <w:tcW w:w="586" w:type="pct"/>
            <w:shd w:val="clear" w:color="auto" w:fill="DAEEF3" w:themeFill="accent5" w:themeFillTint="33"/>
            <w:vAlign w:val="center"/>
          </w:tcPr>
          <w:p w14:paraId="557D49CC" w14:textId="17B256C2" w:rsidR="00541099" w:rsidRPr="00990003" w:rsidRDefault="00BC5665" w:rsidP="005D7C5E">
            <w:pPr>
              <w:jc w:val="center"/>
              <w:rPr>
                <w:rFonts w:cs="Arial"/>
                <w:bCs/>
                <w:sz w:val="20"/>
                <w:szCs w:val="20"/>
              </w:rPr>
            </w:pPr>
            <w:r>
              <w:rPr>
                <w:rFonts w:cs="Arial"/>
                <w:bCs/>
                <w:sz w:val="20"/>
                <w:szCs w:val="20"/>
              </w:rPr>
              <w:t>&lt;5</w:t>
            </w:r>
          </w:p>
        </w:tc>
      </w:tr>
      <w:tr w:rsidR="005D7C5E" w:rsidRPr="00990003" w14:paraId="48B121E2" w14:textId="77777777" w:rsidTr="002A0835">
        <w:trPr>
          <w:trHeight w:val="340"/>
        </w:trPr>
        <w:tc>
          <w:tcPr>
            <w:tcW w:w="4414" w:type="pct"/>
            <w:shd w:val="clear" w:color="auto" w:fill="FFFFFF" w:themeFill="background1"/>
            <w:vAlign w:val="center"/>
          </w:tcPr>
          <w:p w14:paraId="2C1A484C" w14:textId="77777777" w:rsidR="005D7C5E" w:rsidRPr="00990003" w:rsidRDefault="005D7C5E" w:rsidP="005D7C5E">
            <w:pPr>
              <w:jc w:val="left"/>
              <w:rPr>
                <w:rFonts w:cs="Arial"/>
                <w:sz w:val="20"/>
                <w:szCs w:val="20"/>
              </w:rPr>
            </w:pPr>
            <w:r w:rsidRPr="00990003">
              <w:rPr>
                <w:rFonts w:cs="Arial"/>
                <w:sz w:val="20"/>
                <w:szCs w:val="20"/>
              </w:rPr>
              <w:t xml:space="preserve">Major breach of SMV Policy referred to Senate Discipline Committee as a potential Category 2 Discipline Offence </w:t>
            </w:r>
          </w:p>
        </w:tc>
        <w:tc>
          <w:tcPr>
            <w:tcW w:w="586" w:type="pct"/>
            <w:shd w:val="clear" w:color="auto" w:fill="DAEEF3" w:themeFill="accent5" w:themeFillTint="33"/>
            <w:vAlign w:val="center"/>
          </w:tcPr>
          <w:p w14:paraId="075450EC" w14:textId="6492B5E0" w:rsidR="005D7C5E" w:rsidRPr="00990003" w:rsidRDefault="00541099" w:rsidP="005D7C5E">
            <w:pPr>
              <w:jc w:val="center"/>
              <w:rPr>
                <w:rFonts w:cs="Arial"/>
                <w:b/>
                <w:sz w:val="20"/>
                <w:szCs w:val="20"/>
              </w:rPr>
            </w:pPr>
            <w:r>
              <w:rPr>
                <w:rFonts w:cs="Arial"/>
                <w:b/>
                <w:sz w:val="20"/>
                <w:szCs w:val="20"/>
              </w:rPr>
              <w:t>15</w:t>
            </w:r>
          </w:p>
        </w:tc>
      </w:tr>
      <w:tr w:rsidR="005D7C5E" w:rsidRPr="00990003" w14:paraId="4CE3E7E9" w14:textId="77777777" w:rsidTr="002A0835">
        <w:trPr>
          <w:trHeight w:val="340"/>
        </w:trPr>
        <w:tc>
          <w:tcPr>
            <w:tcW w:w="4414" w:type="pct"/>
            <w:shd w:val="clear" w:color="auto" w:fill="FFFFFF" w:themeFill="background1"/>
            <w:vAlign w:val="center"/>
          </w:tcPr>
          <w:p w14:paraId="4AB4B81B" w14:textId="77777777" w:rsidR="005D7C5E" w:rsidRPr="00990003" w:rsidRDefault="005D7C5E" w:rsidP="005D7C5E">
            <w:pPr>
              <w:jc w:val="left"/>
              <w:rPr>
                <w:rFonts w:cs="Arial"/>
                <w:sz w:val="20"/>
                <w:szCs w:val="20"/>
              </w:rPr>
            </w:pPr>
            <w:r w:rsidRPr="00990003">
              <w:rPr>
                <w:rFonts w:cs="Arial"/>
                <w:sz w:val="20"/>
                <w:szCs w:val="20"/>
              </w:rPr>
              <w:t>Referred to HR for Investigation</w:t>
            </w:r>
          </w:p>
        </w:tc>
        <w:tc>
          <w:tcPr>
            <w:tcW w:w="586" w:type="pct"/>
            <w:shd w:val="clear" w:color="auto" w:fill="DAEEF3" w:themeFill="accent5" w:themeFillTint="33"/>
            <w:vAlign w:val="center"/>
          </w:tcPr>
          <w:p w14:paraId="1207B628" w14:textId="72ABFE78" w:rsidR="005D7C5E" w:rsidRPr="00990003" w:rsidRDefault="00541099" w:rsidP="005D7C5E">
            <w:pPr>
              <w:jc w:val="center"/>
              <w:rPr>
                <w:rFonts w:cs="Arial"/>
                <w:bCs/>
                <w:sz w:val="20"/>
                <w:szCs w:val="20"/>
              </w:rPr>
            </w:pPr>
            <w:r>
              <w:rPr>
                <w:rFonts w:cs="Arial"/>
                <w:bCs/>
                <w:sz w:val="20"/>
                <w:szCs w:val="20"/>
              </w:rPr>
              <w:t>9</w:t>
            </w:r>
          </w:p>
        </w:tc>
      </w:tr>
      <w:tr w:rsidR="005D7C5E" w:rsidRPr="00990003" w14:paraId="76DFCC52" w14:textId="77777777" w:rsidTr="002A0835">
        <w:trPr>
          <w:trHeight w:val="340"/>
        </w:trPr>
        <w:tc>
          <w:tcPr>
            <w:tcW w:w="4414" w:type="pct"/>
            <w:shd w:val="clear" w:color="auto" w:fill="FFFFFF" w:themeFill="background1"/>
            <w:vAlign w:val="center"/>
          </w:tcPr>
          <w:p w14:paraId="5E44A524" w14:textId="404EF20A" w:rsidR="005D7C5E" w:rsidRPr="00990003" w:rsidRDefault="005D7C5E" w:rsidP="005D7C5E">
            <w:pPr>
              <w:jc w:val="left"/>
              <w:rPr>
                <w:rFonts w:cs="Arial"/>
                <w:sz w:val="20"/>
                <w:szCs w:val="20"/>
              </w:rPr>
            </w:pPr>
            <w:r w:rsidRPr="00990003">
              <w:rPr>
                <w:rFonts w:cs="Arial"/>
                <w:sz w:val="20"/>
                <w:szCs w:val="20"/>
              </w:rPr>
              <w:t>Student Conduct Office Investigation Ongoing</w:t>
            </w:r>
            <w:r w:rsidR="00BC5665">
              <w:rPr>
                <w:rFonts w:cs="Arial"/>
                <w:sz w:val="20"/>
                <w:szCs w:val="20"/>
              </w:rPr>
              <w:t xml:space="preserve"> </w:t>
            </w:r>
          </w:p>
        </w:tc>
        <w:tc>
          <w:tcPr>
            <w:tcW w:w="586" w:type="pct"/>
            <w:shd w:val="clear" w:color="auto" w:fill="DAEEF3" w:themeFill="accent5" w:themeFillTint="33"/>
            <w:vAlign w:val="center"/>
          </w:tcPr>
          <w:p w14:paraId="0A804B92" w14:textId="11734123" w:rsidR="005D7C5E" w:rsidRPr="00990003" w:rsidRDefault="00541099" w:rsidP="005D7C5E">
            <w:pPr>
              <w:jc w:val="center"/>
              <w:rPr>
                <w:rFonts w:cs="Arial"/>
                <w:bCs/>
                <w:sz w:val="20"/>
                <w:szCs w:val="20"/>
              </w:rPr>
            </w:pPr>
            <w:r>
              <w:rPr>
                <w:rFonts w:cs="Arial"/>
                <w:bCs/>
                <w:sz w:val="20"/>
                <w:szCs w:val="20"/>
              </w:rPr>
              <w:t>&lt;5</w:t>
            </w:r>
          </w:p>
        </w:tc>
      </w:tr>
      <w:tr w:rsidR="00BD1315" w:rsidRPr="00990003" w14:paraId="32B66EFB" w14:textId="77777777" w:rsidTr="002A0835">
        <w:trPr>
          <w:trHeight w:val="340"/>
        </w:trPr>
        <w:tc>
          <w:tcPr>
            <w:tcW w:w="4414" w:type="pct"/>
            <w:shd w:val="clear" w:color="auto" w:fill="FFFFFF" w:themeFill="background1"/>
            <w:vAlign w:val="center"/>
          </w:tcPr>
          <w:p w14:paraId="04483C98" w14:textId="0E7F971E" w:rsidR="00BD1315" w:rsidRPr="00990003" w:rsidRDefault="00BD1315" w:rsidP="005D7C5E">
            <w:pPr>
              <w:jc w:val="left"/>
              <w:rPr>
                <w:rFonts w:cs="Arial"/>
                <w:sz w:val="20"/>
                <w:szCs w:val="20"/>
              </w:rPr>
            </w:pPr>
            <w:r w:rsidRPr="00990003">
              <w:rPr>
                <w:rFonts w:cs="Arial"/>
                <w:sz w:val="20"/>
                <w:szCs w:val="20"/>
              </w:rPr>
              <w:t xml:space="preserve">Responding Party withdrew </w:t>
            </w:r>
            <w:r w:rsidR="00C46790" w:rsidRPr="00990003">
              <w:rPr>
                <w:rFonts w:cs="Arial"/>
                <w:sz w:val="20"/>
                <w:szCs w:val="20"/>
              </w:rPr>
              <w:t>prior to completion of investigation/disciplinary procedure</w:t>
            </w:r>
          </w:p>
        </w:tc>
        <w:tc>
          <w:tcPr>
            <w:tcW w:w="586" w:type="pct"/>
            <w:shd w:val="clear" w:color="auto" w:fill="DAEEF3" w:themeFill="accent5" w:themeFillTint="33"/>
            <w:vAlign w:val="center"/>
          </w:tcPr>
          <w:p w14:paraId="624957B4" w14:textId="3B0D4A58" w:rsidR="00BD1315" w:rsidRPr="00990003" w:rsidRDefault="00554D1C" w:rsidP="005D7C5E">
            <w:pPr>
              <w:jc w:val="center"/>
              <w:rPr>
                <w:rFonts w:cs="Arial"/>
                <w:bCs/>
                <w:sz w:val="20"/>
                <w:szCs w:val="20"/>
              </w:rPr>
            </w:pPr>
            <w:r>
              <w:rPr>
                <w:rFonts w:cs="Arial"/>
                <w:bCs/>
                <w:sz w:val="20"/>
                <w:szCs w:val="20"/>
              </w:rPr>
              <w:t>&lt;5</w:t>
            </w:r>
          </w:p>
        </w:tc>
      </w:tr>
      <w:tr w:rsidR="005D7C5E" w:rsidRPr="00990003" w14:paraId="4EFF2975" w14:textId="77777777" w:rsidTr="002A0835">
        <w:trPr>
          <w:trHeight w:val="340"/>
        </w:trPr>
        <w:tc>
          <w:tcPr>
            <w:tcW w:w="4414" w:type="pct"/>
            <w:shd w:val="clear" w:color="auto" w:fill="FFFFFF" w:themeFill="background1"/>
            <w:vAlign w:val="center"/>
          </w:tcPr>
          <w:p w14:paraId="02AE4D0B" w14:textId="29FB4575" w:rsidR="005D7C5E" w:rsidRPr="00990003" w:rsidRDefault="005D7C5E" w:rsidP="005D7C5E">
            <w:pPr>
              <w:jc w:val="left"/>
              <w:rPr>
                <w:rFonts w:cs="Arial"/>
                <w:sz w:val="20"/>
                <w:szCs w:val="20"/>
              </w:rPr>
            </w:pPr>
            <w:r w:rsidRPr="00990003">
              <w:rPr>
                <w:rFonts w:cs="Arial"/>
                <w:sz w:val="20"/>
                <w:szCs w:val="20"/>
              </w:rPr>
              <w:t>Student Conduct Office</w:t>
            </w:r>
            <w:r w:rsidR="001615CF" w:rsidRPr="001615CF">
              <w:rPr>
                <w:rFonts w:cs="Arial"/>
                <w:color w:val="222222"/>
                <w:vertAlign w:val="superscript"/>
              </w:rPr>
              <w:t>§</w:t>
            </w:r>
            <w:r w:rsidR="00C46790" w:rsidRPr="00990003">
              <w:rPr>
                <w:rFonts w:cs="Arial"/>
                <w:sz w:val="20"/>
                <w:szCs w:val="20"/>
              </w:rPr>
              <w:t xml:space="preserve"> </w:t>
            </w:r>
            <w:r w:rsidRPr="00990003">
              <w:rPr>
                <w:rFonts w:cs="Arial"/>
                <w:sz w:val="20"/>
                <w:szCs w:val="20"/>
              </w:rPr>
              <w:t xml:space="preserve">Average Length of Time in Calendar Days from Confirmed Report to Investigation Outcome </w:t>
            </w:r>
          </w:p>
        </w:tc>
        <w:tc>
          <w:tcPr>
            <w:tcW w:w="586" w:type="pct"/>
            <w:shd w:val="clear" w:color="auto" w:fill="DAEEF3" w:themeFill="accent5" w:themeFillTint="33"/>
            <w:vAlign w:val="center"/>
          </w:tcPr>
          <w:p w14:paraId="73CE5E28" w14:textId="47ACE002" w:rsidR="005D7C5E" w:rsidRPr="00990003" w:rsidRDefault="007B799F" w:rsidP="005D7C5E">
            <w:pPr>
              <w:jc w:val="center"/>
              <w:rPr>
                <w:rFonts w:cs="Arial"/>
                <w:b/>
                <w:sz w:val="20"/>
                <w:szCs w:val="20"/>
              </w:rPr>
            </w:pPr>
            <w:r>
              <w:rPr>
                <w:rFonts w:cs="Arial"/>
                <w:b/>
                <w:sz w:val="20"/>
                <w:szCs w:val="20"/>
              </w:rPr>
              <w:t>124 days</w:t>
            </w:r>
          </w:p>
        </w:tc>
      </w:tr>
      <w:tr w:rsidR="005D7C5E" w:rsidRPr="00990003" w14:paraId="065F89EB" w14:textId="77777777" w:rsidTr="00870DEB">
        <w:trPr>
          <w:trHeight w:val="340"/>
        </w:trPr>
        <w:tc>
          <w:tcPr>
            <w:tcW w:w="5000" w:type="pct"/>
            <w:gridSpan w:val="2"/>
            <w:shd w:val="clear" w:color="auto" w:fill="92CDDC" w:themeFill="accent5" w:themeFillTint="99"/>
            <w:vAlign w:val="center"/>
          </w:tcPr>
          <w:p w14:paraId="5B8131C7" w14:textId="5C3961B8" w:rsidR="005D7C5E" w:rsidRPr="00990003" w:rsidRDefault="00BC5665" w:rsidP="005D7C5E">
            <w:pPr>
              <w:jc w:val="left"/>
              <w:rPr>
                <w:rFonts w:cs="Arial"/>
                <w:b/>
                <w:sz w:val="20"/>
                <w:szCs w:val="20"/>
              </w:rPr>
            </w:pPr>
            <w:r>
              <w:rPr>
                <w:rFonts w:cs="Arial"/>
                <w:b/>
                <w:sz w:val="20"/>
                <w:szCs w:val="20"/>
              </w:rPr>
              <w:lastRenderedPageBreak/>
              <w:t>Discipline Outcomes and Sanctions for Students</w:t>
            </w:r>
            <w:r w:rsidR="005D7C5E" w:rsidRPr="00990003">
              <w:rPr>
                <w:rFonts w:cs="Arial"/>
                <w:b/>
                <w:sz w:val="20"/>
                <w:szCs w:val="20"/>
              </w:rPr>
              <w:t xml:space="preserve"> </w:t>
            </w:r>
          </w:p>
        </w:tc>
      </w:tr>
      <w:tr w:rsidR="005D7C5E" w:rsidRPr="00990003" w14:paraId="3663805E" w14:textId="77777777" w:rsidTr="002A0835">
        <w:trPr>
          <w:trHeight w:val="340"/>
        </w:trPr>
        <w:tc>
          <w:tcPr>
            <w:tcW w:w="4414" w:type="pct"/>
            <w:shd w:val="clear" w:color="auto" w:fill="FFFFFF" w:themeFill="background1"/>
            <w:vAlign w:val="center"/>
          </w:tcPr>
          <w:p w14:paraId="517F3BDB" w14:textId="78F0C60B" w:rsidR="005D7C5E" w:rsidRPr="00990003" w:rsidRDefault="005D7C5E" w:rsidP="005D7C5E">
            <w:pPr>
              <w:jc w:val="left"/>
              <w:rPr>
                <w:rFonts w:cs="Arial"/>
                <w:sz w:val="20"/>
                <w:szCs w:val="20"/>
              </w:rPr>
            </w:pPr>
            <w:r w:rsidRPr="00990003">
              <w:rPr>
                <w:rFonts w:cs="Arial"/>
                <w:sz w:val="20"/>
                <w:szCs w:val="20"/>
              </w:rPr>
              <w:t xml:space="preserve">Expulsion </w:t>
            </w:r>
          </w:p>
        </w:tc>
        <w:tc>
          <w:tcPr>
            <w:tcW w:w="586" w:type="pct"/>
            <w:shd w:val="clear" w:color="auto" w:fill="DAEEF3" w:themeFill="accent5" w:themeFillTint="33"/>
            <w:vAlign w:val="center"/>
          </w:tcPr>
          <w:p w14:paraId="1928341A" w14:textId="15CA563E" w:rsidR="005D7C5E" w:rsidRPr="00990003" w:rsidRDefault="00946FDE" w:rsidP="005D7C5E">
            <w:pPr>
              <w:jc w:val="center"/>
              <w:rPr>
                <w:rFonts w:cs="Arial"/>
                <w:bCs/>
                <w:sz w:val="20"/>
                <w:szCs w:val="20"/>
              </w:rPr>
            </w:pPr>
            <w:r>
              <w:rPr>
                <w:rFonts w:cs="Arial"/>
                <w:bCs/>
                <w:sz w:val="20"/>
                <w:szCs w:val="20"/>
              </w:rPr>
              <w:t>&lt;5</w:t>
            </w:r>
          </w:p>
        </w:tc>
      </w:tr>
      <w:tr w:rsidR="005D7C5E" w:rsidRPr="00990003" w14:paraId="1DC1C364" w14:textId="77777777" w:rsidTr="002A0835">
        <w:trPr>
          <w:trHeight w:val="340"/>
        </w:trPr>
        <w:tc>
          <w:tcPr>
            <w:tcW w:w="4414" w:type="pct"/>
            <w:shd w:val="clear" w:color="auto" w:fill="FFFFFF" w:themeFill="background1"/>
            <w:vAlign w:val="center"/>
          </w:tcPr>
          <w:p w14:paraId="69AC918F" w14:textId="77777777" w:rsidR="005D7C5E" w:rsidRPr="00990003" w:rsidRDefault="005D7C5E" w:rsidP="005D7C5E">
            <w:pPr>
              <w:jc w:val="left"/>
              <w:rPr>
                <w:rFonts w:cs="Arial"/>
                <w:sz w:val="20"/>
                <w:szCs w:val="20"/>
              </w:rPr>
            </w:pPr>
            <w:r w:rsidRPr="00990003">
              <w:rPr>
                <w:rFonts w:cs="Arial"/>
                <w:sz w:val="20"/>
                <w:szCs w:val="20"/>
              </w:rPr>
              <w:t>Exclusion for 1 year</w:t>
            </w:r>
          </w:p>
        </w:tc>
        <w:tc>
          <w:tcPr>
            <w:tcW w:w="586" w:type="pct"/>
            <w:shd w:val="clear" w:color="auto" w:fill="DAEEF3" w:themeFill="accent5" w:themeFillTint="33"/>
            <w:vAlign w:val="center"/>
          </w:tcPr>
          <w:p w14:paraId="1C590281" w14:textId="5C3E776B" w:rsidR="005D7C5E" w:rsidRPr="00990003" w:rsidRDefault="00946FDE" w:rsidP="005D7C5E">
            <w:pPr>
              <w:jc w:val="center"/>
              <w:rPr>
                <w:rFonts w:cs="Arial"/>
                <w:bCs/>
                <w:sz w:val="20"/>
                <w:szCs w:val="20"/>
              </w:rPr>
            </w:pPr>
            <w:r>
              <w:rPr>
                <w:rFonts w:cs="Arial"/>
                <w:bCs/>
                <w:sz w:val="20"/>
                <w:szCs w:val="20"/>
              </w:rPr>
              <w:t>7</w:t>
            </w:r>
          </w:p>
        </w:tc>
      </w:tr>
      <w:tr w:rsidR="005D7C5E" w:rsidRPr="00990003" w14:paraId="3AAB6224" w14:textId="77777777" w:rsidTr="002A0835">
        <w:trPr>
          <w:trHeight w:val="340"/>
        </w:trPr>
        <w:tc>
          <w:tcPr>
            <w:tcW w:w="4414" w:type="pct"/>
            <w:shd w:val="clear" w:color="auto" w:fill="FFFFFF" w:themeFill="background1"/>
            <w:vAlign w:val="center"/>
          </w:tcPr>
          <w:p w14:paraId="2D719378" w14:textId="21DEF29B" w:rsidR="005D7C5E" w:rsidRPr="00990003" w:rsidRDefault="005D7C5E" w:rsidP="005D7C5E">
            <w:pPr>
              <w:jc w:val="left"/>
              <w:rPr>
                <w:rFonts w:cs="Arial"/>
                <w:sz w:val="20"/>
                <w:szCs w:val="20"/>
              </w:rPr>
            </w:pPr>
            <w:r w:rsidRPr="00990003">
              <w:rPr>
                <w:rFonts w:cs="Arial"/>
                <w:sz w:val="20"/>
                <w:szCs w:val="20"/>
              </w:rPr>
              <w:t>Other Sanction (e.g., No Contact Order, Formal Reprimand, Requirement to Change College Membership, etc.)</w:t>
            </w:r>
          </w:p>
        </w:tc>
        <w:tc>
          <w:tcPr>
            <w:tcW w:w="586" w:type="pct"/>
            <w:shd w:val="clear" w:color="auto" w:fill="DAEEF3" w:themeFill="accent5" w:themeFillTint="33"/>
            <w:vAlign w:val="center"/>
          </w:tcPr>
          <w:p w14:paraId="793328A6" w14:textId="62F8D352" w:rsidR="005D7C5E" w:rsidRPr="00990003" w:rsidRDefault="00BC5665" w:rsidP="005D7C5E">
            <w:pPr>
              <w:jc w:val="center"/>
              <w:rPr>
                <w:rFonts w:cs="Arial"/>
                <w:b/>
                <w:sz w:val="20"/>
                <w:szCs w:val="20"/>
              </w:rPr>
            </w:pPr>
            <w:r>
              <w:rPr>
                <w:rFonts w:cs="Arial"/>
                <w:b/>
                <w:sz w:val="20"/>
                <w:szCs w:val="20"/>
              </w:rPr>
              <w:t>16</w:t>
            </w:r>
          </w:p>
        </w:tc>
      </w:tr>
      <w:tr w:rsidR="00BC5665" w:rsidRPr="00990003" w14:paraId="541B02FE" w14:textId="77777777" w:rsidTr="002A0835">
        <w:trPr>
          <w:trHeight w:val="340"/>
        </w:trPr>
        <w:tc>
          <w:tcPr>
            <w:tcW w:w="4414" w:type="pct"/>
            <w:shd w:val="clear" w:color="auto" w:fill="FFFFFF" w:themeFill="background1"/>
            <w:vAlign w:val="center"/>
          </w:tcPr>
          <w:p w14:paraId="70AEAFC7" w14:textId="6C9D3061" w:rsidR="00BC5665" w:rsidRPr="00990003" w:rsidRDefault="00BC5665" w:rsidP="005D7C5E">
            <w:pPr>
              <w:jc w:val="left"/>
              <w:rPr>
                <w:rFonts w:cs="Arial"/>
                <w:sz w:val="20"/>
                <w:szCs w:val="20"/>
              </w:rPr>
            </w:pPr>
            <w:r>
              <w:rPr>
                <w:rFonts w:cs="Arial"/>
                <w:sz w:val="20"/>
                <w:szCs w:val="20"/>
              </w:rPr>
              <w:t>Investigation found a major breach of the SMV Policy, Discipline hearing dismissed the case</w:t>
            </w:r>
          </w:p>
        </w:tc>
        <w:tc>
          <w:tcPr>
            <w:tcW w:w="586" w:type="pct"/>
            <w:shd w:val="clear" w:color="auto" w:fill="DAEEF3" w:themeFill="accent5" w:themeFillTint="33"/>
            <w:vAlign w:val="center"/>
          </w:tcPr>
          <w:p w14:paraId="789A577B" w14:textId="37E26720" w:rsidR="00BC5665" w:rsidRPr="00554D1C" w:rsidRDefault="00554D1C" w:rsidP="005D7C5E">
            <w:pPr>
              <w:jc w:val="center"/>
              <w:rPr>
                <w:rFonts w:cs="Arial"/>
                <w:bCs/>
                <w:sz w:val="20"/>
                <w:szCs w:val="20"/>
              </w:rPr>
            </w:pPr>
            <w:r>
              <w:rPr>
                <w:rFonts w:cs="Arial"/>
                <w:bCs/>
                <w:sz w:val="20"/>
                <w:szCs w:val="20"/>
              </w:rPr>
              <w:t>&lt;5</w:t>
            </w:r>
          </w:p>
        </w:tc>
      </w:tr>
      <w:tr w:rsidR="005D7C5E" w:rsidRPr="00990003" w14:paraId="70AD1897" w14:textId="77777777" w:rsidTr="000F71FD">
        <w:trPr>
          <w:trHeight w:val="340"/>
        </w:trPr>
        <w:tc>
          <w:tcPr>
            <w:tcW w:w="5000" w:type="pct"/>
            <w:gridSpan w:val="2"/>
            <w:shd w:val="clear" w:color="auto" w:fill="92CDDC" w:themeFill="accent5" w:themeFillTint="99"/>
            <w:vAlign w:val="center"/>
          </w:tcPr>
          <w:p w14:paraId="7242330B" w14:textId="4058CBBB" w:rsidR="005D7C5E" w:rsidRPr="00990003" w:rsidRDefault="005D7C5E" w:rsidP="005D7C5E">
            <w:pPr>
              <w:jc w:val="left"/>
              <w:rPr>
                <w:rFonts w:cs="Arial"/>
                <w:b/>
                <w:sz w:val="20"/>
                <w:szCs w:val="20"/>
              </w:rPr>
            </w:pPr>
            <w:r w:rsidRPr="00990003">
              <w:rPr>
                <w:rFonts w:cs="Arial"/>
                <w:b/>
                <w:sz w:val="20"/>
                <w:szCs w:val="20"/>
              </w:rPr>
              <w:t xml:space="preserve">Discipline Outcomes and Sanctions </w:t>
            </w:r>
            <w:r w:rsidR="002F2ED4" w:rsidRPr="00990003">
              <w:rPr>
                <w:rFonts w:cs="Arial"/>
                <w:b/>
                <w:sz w:val="20"/>
                <w:szCs w:val="20"/>
              </w:rPr>
              <w:t>for</w:t>
            </w:r>
            <w:r w:rsidRPr="00990003">
              <w:rPr>
                <w:rFonts w:cs="Arial"/>
                <w:b/>
                <w:sz w:val="20"/>
                <w:szCs w:val="20"/>
              </w:rPr>
              <w:t xml:space="preserve"> Staff</w:t>
            </w:r>
          </w:p>
        </w:tc>
      </w:tr>
      <w:tr w:rsidR="005D7C5E" w:rsidRPr="00990003" w14:paraId="13D62DE9" w14:textId="77777777" w:rsidTr="002A0835">
        <w:trPr>
          <w:trHeight w:val="340"/>
        </w:trPr>
        <w:tc>
          <w:tcPr>
            <w:tcW w:w="4414" w:type="pct"/>
            <w:shd w:val="clear" w:color="auto" w:fill="FFFFFF" w:themeFill="background1"/>
            <w:vAlign w:val="center"/>
          </w:tcPr>
          <w:p w14:paraId="351547F0" w14:textId="34CE8324" w:rsidR="005D7C5E" w:rsidRPr="00990003" w:rsidRDefault="005D7C5E" w:rsidP="005D7C5E">
            <w:pPr>
              <w:jc w:val="left"/>
              <w:rPr>
                <w:rFonts w:cs="Arial"/>
                <w:sz w:val="20"/>
                <w:szCs w:val="20"/>
              </w:rPr>
            </w:pPr>
            <w:r w:rsidRPr="00990003">
              <w:rPr>
                <w:rFonts w:cs="Arial"/>
                <w:sz w:val="20"/>
                <w:szCs w:val="20"/>
              </w:rPr>
              <w:t xml:space="preserve">Dismissal </w:t>
            </w:r>
          </w:p>
        </w:tc>
        <w:tc>
          <w:tcPr>
            <w:tcW w:w="586" w:type="pct"/>
            <w:shd w:val="clear" w:color="auto" w:fill="DAEEF3" w:themeFill="accent5" w:themeFillTint="33"/>
            <w:vAlign w:val="center"/>
          </w:tcPr>
          <w:p w14:paraId="0C75875A" w14:textId="7D3233E4" w:rsidR="005D7C5E" w:rsidRPr="00990003" w:rsidRDefault="00BC5665" w:rsidP="005D7C5E">
            <w:pPr>
              <w:jc w:val="center"/>
              <w:rPr>
                <w:rFonts w:cs="Arial"/>
                <w:bCs/>
                <w:sz w:val="20"/>
                <w:szCs w:val="20"/>
              </w:rPr>
            </w:pPr>
            <w:r>
              <w:rPr>
                <w:rFonts w:cs="Arial"/>
                <w:bCs/>
                <w:sz w:val="20"/>
                <w:szCs w:val="20"/>
              </w:rPr>
              <w:t>0</w:t>
            </w:r>
          </w:p>
        </w:tc>
      </w:tr>
      <w:tr w:rsidR="005D7C5E" w:rsidRPr="00990003" w14:paraId="693E6B0A" w14:textId="77777777" w:rsidTr="002A0835">
        <w:trPr>
          <w:trHeight w:val="340"/>
        </w:trPr>
        <w:tc>
          <w:tcPr>
            <w:tcW w:w="4414" w:type="pct"/>
            <w:shd w:val="clear" w:color="auto" w:fill="FFFFFF" w:themeFill="background1"/>
            <w:vAlign w:val="center"/>
          </w:tcPr>
          <w:p w14:paraId="701CE047" w14:textId="6DCF2C76" w:rsidR="005D7C5E" w:rsidRPr="00990003" w:rsidRDefault="005D7C5E" w:rsidP="005D7C5E">
            <w:pPr>
              <w:jc w:val="left"/>
              <w:rPr>
                <w:rFonts w:cs="Arial"/>
                <w:sz w:val="20"/>
                <w:szCs w:val="20"/>
              </w:rPr>
            </w:pPr>
            <w:r w:rsidRPr="00990003">
              <w:rPr>
                <w:rFonts w:cs="Arial"/>
                <w:sz w:val="20"/>
                <w:szCs w:val="20"/>
              </w:rPr>
              <w:t>Other Sanction (e.g., Verbal warning, Written warning, Final Written Warning)</w:t>
            </w:r>
          </w:p>
        </w:tc>
        <w:tc>
          <w:tcPr>
            <w:tcW w:w="586" w:type="pct"/>
            <w:shd w:val="clear" w:color="auto" w:fill="DAEEF3" w:themeFill="accent5" w:themeFillTint="33"/>
            <w:vAlign w:val="center"/>
          </w:tcPr>
          <w:p w14:paraId="1ED4EABF" w14:textId="23E231FE" w:rsidR="005D7C5E" w:rsidRPr="00990003" w:rsidRDefault="00BC5665" w:rsidP="005D7C5E">
            <w:pPr>
              <w:jc w:val="center"/>
              <w:rPr>
                <w:rFonts w:cs="Arial"/>
                <w:bCs/>
                <w:sz w:val="20"/>
                <w:szCs w:val="20"/>
              </w:rPr>
            </w:pPr>
            <w:r>
              <w:rPr>
                <w:rFonts w:cs="Arial"/>
                <w:bCs/>
                <w:sz w:val="20"/>
                <w:szCs w:val="20"/>
              </w:rPr>
              <w:t>&lt;5</w:t>
            </w:r>
          </w:p>
        </w:tc>
      </w:tr>
      <w:tr w:rsidR="002F2ED4" w:rsidRPr="00990003" w14:paraId="1F642262" w14:textId="77777777" w:rsidTr="002A0835">
        <w:trPr>
          <w:trHeight w:val="340"/>
        </w:trPr>
        <w:tc>
          <w:tcPr>
            <w:tcW w:w="4414" w:type="pct"/>
            <w:shd w:val="clear" w:color="auto" w:fill="FFFFFF" w:themeFill="background1"/>
            <w:vAlign w:val="center"/>
          </w:tcPr>
          <w:p w14:paraId="7F043806" w14:textId="5EBBCA92" w:rsidR="002F2ED4" w:rsidRPr="00990003" w:rsidRDefault="002F2ED4" w:rsidP="005D7C5E">
            <w:pPr>
              <w:jc w:val="left"/>
              <w:rPr>
                <w:rFonts w:cs="Arial"/>
                <w:sz w:val="20"/>
                <w:szCs w:val="20"/>
              </w:rPr>
            </w:pPr>
            <w:r w:rsidRPr="00990003">
              <w:rPr>
                <w:rFonts w:cs="Arial"/>
                <w:sz w:val="20"/>
                <w:szCs w:val="20"/>
              </w:rPr>
              <w:t>Informal Action</w:t>
            </w:r>
          </w:p>
        </w:tc>
        <w:tc>
          <w:tcPr>
            <w:tcW w:w="586" w:type="pct"/>
            <w:shd w:val="clear" w:color="auto" w:fill="DAEEF3" w:themeFill="accent5" w:themeFillTint="33"/>
            <w:vAlign w:val="center"/>
          </w:tcPr>
          <w:p w14:paraId="5FE6414D" w14:textId="4B470F74" w:rsidR="002F2ED4" w:rsidRPr="00990003" w:rsidRDefault="00BC5665" w:rsidP="005D7C5E">
            <w:pPr>
              <w:jc w:val="center"/>
              <w:rPr>
                <w:rFonts w:cs="Arial"/>
                <w:bCs/>
                <w:sz w:val="20"/>
                <w:szCs w:val="20"/>
              </w:rPr>
            </w:pPr>
            <w:r>
              <w:rPr>
                <w:rFonts w:cs="Arial"/>
                <w:bCs/>
                <w:sz w:val="20"/>
                <w:szCs w:val="20"/>
              </w:rPr>
              <w:t>&lt;5</w:t>
            </w:r>
          </w:p>
        </w:tc>
      </w:tr>
      <w:tr w:rsidR="005D7C5E" w:rsidRPr="00990003" w14:paraId="6DE99AD5" w14:textId="77777777" w:rsidTr="002A0835">
        <w:trPr>
          <w:trHeight w:val="340"/>
        </w:trPr>
        <w:tc>
          <w:tcPr>
            <w:tcW w:w="4414" w:type="pct"/>
            <w:shd w:val="clear" w:color="auto" w:fill="FFFFFF" w:themeFill="background1"/>
            <w:vAlign w:val="center"/>
          </w:tcPr>
          <w:p w14:paraId="7E6B2B74" w14:textId="0F3FF2BC" w:rsidR="005D7C5E" w:rsidRPr="00990003" w:rsidRDefault="005D7C5E" w:rsidP="005D7C5E">
            <w:pPr>
              <w:jc w:val="left"/>
              <w:rPr>
                <w:rFonts w:cs="Arial"/>
                <w:sz w:val="20"/>
                <w:szCs w:val="20"/>
              </w:rPr>
            </w:pPr>
            <w:r w:rsidRPr="00990003">
              <w:rPr>
                <w:rFonts w:cs="Arial"/>
                <w:sz w:val="20"/>
                <w:szCs w:val="20"/>
              </w:rPr>
              <w:t xml:space="preserve">Not Upheld </w:t>
            </w:r>
          </w:p>
        </w:tc>
        <w:tc>
          <w:tcPr>
            <w:tcW w:w="586" w:type="pct"/>
            <w:shd w:val="clear" w:color="auto" w:fill="DAEEF3" w:themeFill="accent5" w:themeFillTint="33"/>
            <w:vAlign w:val="center"/>
          </w:tcPr>
          <w:p w14:paraId="706F0397" w14:textId="1EE48CF6" w:rsidR="005D7C5E" w:rsidRPr="00990003" w:rsidRDefault="00BC5665" w:rsidP="005D7C5E">
            <w:pPr>
              <w:jc w:val="center"/>
              <w:rPr>
                <w:rFonts w:cs="Arial"/>
                <w:bCs/>
                <w:sz w:val="20"/>
                <w:szCs w:val="20"/>
              </w:rPr>
            </w:pPr>
            <w:r>
              <w:rPr>
                <w:rFonts w:cs="Arial"/>
                <w:bCs/>
                <w:sz w:val="20"/>
                <w:szCs w:val="20"/>
              </w:rPr>
              <w:t>&lt;5</w:t>
            </w:r>
          </w:p>
        </w:tc>
      </w:tr>
      <w:tr w:rsidR="002F2ED4" w:rsidRPr="00990003" w14:paraId="7E56AB73" w14:textId="77777777" w:rsidTr="002A0835">
        <w:trPr>
          <w:trHeight w:val="340"/>
        </w:trPr>
        <w:tc>
          <w:tcPr>
            <w:tcW w:w="4414" w:type="pct"/>
            <w:shd w:val="clear" w:color="auto" w:fill="FFFFFF" w:themeFill="background1"/>
            <w:vAlign w:val="center"/>
          </w:tcPr>
          <w:p w14:paraId="42B82457" w14:textId="0A7BC280" w:rsidR="002F2ED4" w:rsidRPr="00990003" w:rsidRDefault="002F2ED4" w:rsidP="005D7C5E">
            <w:pPr>
              <w:jc w:val="left"/>
              <w:rPr>
                <w:rFonts w:cs="Arial"/>
                <w:sz w:val="20"/>
                <w:szCs w:val="20"/>
              </w:rPr>
            </w:pPr>
            <w:r w:rsidRPr="00990003">
              <w:rPr>
                <w:rFonts w:cs="Arial"/>
                <w:sz w:val="20"/>
                <w:szCs w:val="20"/>
              </w:rPr>
              <w:t xml:space="preserve">Other </w:t>
            </w:r>
          </w:p>
        </w:tc>
        <w:tc>
          <w:tcPr>
            <w:tcW w:w="586" w:type="pct"/>
            <w:shd w:val="clear" w:color="auto" w:fill="DAEEF3" w:themeFill="accent5" w:themeFillTint="33"/>
            <w:vAlign w:val="center"/>
          </w:tcPr>
          <w:p w14:paraId="2D57048F" w14:textId="00D5DE82" w:rsidR="002F2ED4" w:rsidRPr="00990003" w:rsidRDefault="00BC5665" w:rsidP="005D7C5E">
            <w:pPr>
              <w:jc w:val="center"/>
              <w:rPr>
                <w:rFonts w:cs="Arial"/>
                <w:bCs/>
                <w:sz w:val="20"/>
                <w:szCs w:val="20"/>
              </w:rPr>
            </w:pPr>
            <w:r>
              <w:rPr>
                <w:rFonts w:cs="Arial"/>
                <w:bCs/>
                <w:sz w:val="20"/>
                <w:szCs w:val="20"/>
              </w:rPr>
              <w:t>&lt;5</w:t>
            </w:r>
          </w:p>
        </w:tc>
      </w:tr>
      <w:tr w:rsidR="005D7C5E" w:rsidRPr="00990003" w14:paraId="6BB3E62F" w14:textId="77777777" w:rsidTr="002A0835">
        <w:trPr>
          <w:trHeight w:val="340"/>
        </w:trPr>
        <w:tc>
          <w:tcPr>
            <w:tcW w:w="5000" w:type="pct"/>
            <w:gridSpan w:val="2"/>
            <w:shd w:val="clear" w:color="auto" w:fill="4BACC6" w:themeFill="accent5"/>
            <w:vAlign w:val="center"/>
          </w:tcPr>
          <w:p w14:paraId="067E3B37" w14:textId="35BAD61E" w:rsidR="005D7C5E" w:rsidRDefault="00F97C39" w:rsidP="005D7C5E">
            <w:pPr>
              <w:spacing w:after="120"/>
              <w:jc w:val="left"/>
              <w:rPr>
                <w:rFonts w:cs="Arial"/>
                <w:sz w:val="18"/>
              </w:rPr>
            </w:pPr>
            <w:r w:rsidRPr="00990003">
              <w:rPr>
                <w:rFonts w:cs="Arial"/>
                <w:sz w:val="18"/>
                <w:vertAlign w:val="superscript"/>
              </w:rPr>
              <w:t>*</w:t>
            </w:r>
            <w:r w:rsidR="005D7C5E" w:rsidRPr="00990003">
              <w:rPr>
                <w:rFonts w:cs="Arial"/>
                <w:sz w:val="18"/>
              </w:rPr>
              <w:t xml:space="preserve">Reporting Parties have the option to report incidents to the University, Police, both or to seek support only. Where incidents are reported to the Police, the University will normally suspend any internal investigation whilst the criminal justice process is conducted. </w:t>
            </w:r>
          </w:p>
          <w:p w14:paraId="3688FF08" w14:textId="22195BFB" w:rsidR="001615CF" w:rsidRPr="001615CF" w:rsidRDefault="001615CF" w:rsidP="005D7C5E">
            <w:pPr>
              <w:spacing w:after="120"/>
              <w:jc w:val="left"/>
              <w:rPr>
                <w:rFonts w:cs="Arial"/>
                <w:sz w:val="18"/>
              </w:rPr>
            </w:pPr>
            <w:r w:rsidRPr="00990003">
              <w:rPr>
                <w:rFonts w:cs="Arial"/>
                <w:color w:val="222222"/>
                <w:vertAlign w:val="superscript"/>
              </w:rPr>
              <w:t>†</w:t>
            </w:r>
            <w:r w:rsidRPr="0064139E">
              <w:rPr>
                <w:rFonts w:cs="Arial"/>
                <w:color w:val="222222"/>
                <w:sz w:val="18"/>
                <w:szCs w:val="18"/>
              </w:rPr>
              <w:t xml:space="preserve">The numbers represent actions taken per report. However, in cases where multiple reports are made against one Responding Party, the actual number may be lower, e.g., in 23 cases partial suspensions were used; however, only 20 partial suspensions were </w:t>
            </w:r>
            <w:r w:rsidRPr="001615CF">
              <w:rPr>
                <w:rFonts w:cs="Arial"/>
                <w:color w:val="222222"/>
                <w:sz w:val="18"/>
                <w:szCs w:val="18"/>
              </w:rPr>
              <w:t>issued</w:t>
            </w:r>
            <w:r w:rsidRPr="0064139E">
              <w:rPr>
                <w:rFonts w:cs="Arial"/>
                <w:color w:val="222222"/>
                <w:sz w:val="18"/>
                <w:szCs w:val="18"/>
              </w:rPr>
              <w:t>.</w:t>
            </w:r>
          </w:p>
          <w:p w14:paraId="5BB4FD56" w14:textId="27A4651C" w:rsidR="00F97C39" w:rsidRPr="00990003" w:rsidRDefault="001615CF" w:rsidP="005D7C5E">
            <w:pPr>
              <w:spacing w:after="120"/>
              <w:jc w:val="left"/>
              <w:rPr>
                <w:rFonts w:cs="Arial"/>
                <w:sz w:val="18"/>
              </w:rPr>
            </w:pPr>
            <w:r w:rsidRPr="00990003">
              <w:rPr>
                <w:rFonts w:cs="Arial"/>
                <w:color w:val="222222"/>
                <w:vertAlign w:val="superscript"/>
              </w:rPr>
              <w:t>††</w:t>
            </w:r>
            <w:r w:rsidRPr="00990003">
              <w:rPr>
                <w:rFonts w:cs="Arial"/>
                <w:sz w:val="20"/>
                <w:szCs w:val="20"/>
              </w:rPr>
              <w:t xml:space="preserve"> </w:t>
            </w:r>
            <w:r w:rsidR="00F97C39" w:rsidRPr="00990003">
              <w:rPr>
                <w:rFonts w:cs="Arial"/>
                <w:sz w:val="18"/>
              </w:rPr>
              <w:t>No Contact Arrangements are normally the minimum precautionary measure used for all investigations under the SMV Policy. Therefore, it is only noted here if it was used on its own and not with a further precautionary measure</w:t>
            </w:r>
            <w:r>
              <w:rPr>
                <w:rFonts w:cs="Arial"/>
                <w:sz w:val="18"/>
              </w:rPr>
              <w:t>(</w:t>
            </w:r>
            <w:r w:rsidR="00F97C39" w:rsidRPr="00990003">
              <w:rPr>
                <w:rFonts w:cs="Arial"/>
                <w:sz w:val="18"/>
              </w:rPr>
              <w:t>s</w:t>
            </w:r>
            <w:r>
              <w:rPr>
                <w:rFonts w:cs="Arial"/>
                <w:sz w:val="18"/>
              </w:rPr>
              <w:t>)</w:t>
            </w:r>
            <w:r w:rsidR="00F97C39" w:rsidRPr="00990003">
              <w:rPr>
                <w:rFonts w:cs="Arial"/>
                <w:sz w:val="18"/>
              </w:rPr>
              <w:t>, e.g. partial suspension, as normal practice.</w:t>
            </w:r>
          </w:p>
          <w:p w14:paraId="5FFF9996" w14:textId="68C7A136" w:rsidR="005D7C5E" w:rsidRPr="00990003" w:rsidRDefault="001615CF" w:rsidP="005D7C5E">
            <w:pPr>
              <w:spacing w:after="120"/>
              <w:jc w:val="left"/>
              <w:rPr>
                <w:rFonts w:cs="Arial"/>
                <w:sz w:val="18"/>
              </w:rPr>
            </w:pPr>
            <w:r w:rsidRPr="001615CF">
              <w:rPr>
                <w:rFonts w:cs="Arial"/>
                <w:sz w:val="18"/>
                <w:vertAlign w:val="superscript"/>
              </w:rPr>
              <w:t>§</w:t>
            </w:r>
            <w:r w:rsidR="00F97C39" w:rsidRPr="00990003">
              <w:rPr>
                <w:rFonts w:cs="Arial"/>
                <w:sz w:val="18"/>
              </w:rPr>
              <w:t>The Student Conduct Office does not hold record of the length of time for investigations conducted by Human Resources.</w:t>
            </w:r>
          </w:p>
        </w:tc>
      </w:tr>
    </w:tbl>
    <w:p w14:paraId="4F1696CE" w14:textId="77777777" w:rsidR="004056E6" w:rsidRDefault="004056E6" w:rsidP="004056E6">
      <w:pPr>
        <w:pStyle w:val="TextunderNumbered"/>
        <w:numPr>
          <w:ilvl w:val="0"/>
          <w:numId w:val="0"/>
        </w:numPr>
        <w:shd w:val="clear" w:color="auto" w:fill="auto"/>
        <w:ind w:left="360"/>
        <w:rPr>
          <w:b/>
          <w:bCs/>
        </w:rPr>
      </w:pPr>
    </w:p>
    <w:p w14:paraId="76FF8F78" w14:textId="59D803CC" w:rsidR="00F12833" w:rsidRPr="0078767C" w:rsidRDefault="00F12833" w:rsidP="00244C00">
      <w:pPr>
        <w:pStyle w:val="TextunderNumbered"/>
        <w:numPr>
          <w:ilvl w:val="0"/>
          <w:numId w:val="17"/>
        </w:numPr>
        <w:shd w:val="clear" w:color="auto" w:fill="auto"/>
        <w:ind w:hanging="644"/>
        <w:rPr>
          <w:b/>
          <w:bCs/>
        </w:rPr>
      </w:pPr>
      <w:r w:rsidRPr="0078767C">
        <w:rPr>
          <w:b/>
          <w:bCs/>
        </w:rPr>
        <w:t>Support</w:t>
      </w:r>
    </w:p>
    <w:p w14:paraId="6F7B76C4" w14:textId="673DFD81" w:rsidR="00DC5CAE" w:rsidRPr="0078767C" w:rsidRDefault="005F5083" w:rsidP="00DC5CAE">
      <w:pPr>
        <w:pStyle w:val="ListParagraph"/>
        <w:numPr>
          <w:ilvl w:val="1"/>
          <w:numId w:val="34"/>
        </w:numPr>
        <w:ind w:left="567" w:hanging="851"/>
        <w:rPr>
          <w:rFonts w:eastAsia="Times New Roman" w:cs="Arial"/>
          <w:szCs w:val="24"/>
          <w:lang w:eastAsia="en-GB"/>
        </w:rPr>
      </w:pPr>
      <w:r w:rsidRPr="0078767C">
        <w:rPr>
          <w:rFonts w:cs="Arial"/>
          <w:b/>
          <w:bCs/>
        </w:rPr>
        <w:t>The Rape &amp; Sexual Abuse Counselling Service (RSACC)</w:t>
      </w:r>
      <w:r w:rsidRPr="0078767C">
        <w:rPr>
          <w:rFonts w:cs="Arial"/>
        </w:rPr>
        <w:t xml:space="preserve"> </w:t>
      </w:r>
      <w:r w:rsidR="00DC5CAE" w:rsidRPr="0078767C">
        <w:rPr>
          <w:rFonts w:eastAsia="Times New Roman" w:cs="Arial"/>
          <w:szCs w:val="24"/>
          <w:lang w:eastAsia="en-GB"/>
        </w:rPr>
        <w:t>is available for students and staff of all genders who are Reporting Parties only. During the 2022/23 academic year, RSACC provided specialist counselling to 63 University clients. This is an increase from the previous year when RSACC provided specialist counselling to 51 University clients. Of the 63 clients, 4 did not engage with the service attending 0-2 sessions only. On average, clients who did engage in the service received 8 sessions of the 20 sessions available to them. This data does not include University students/staff who may engage in the service by accessing it directly through RSACC externally rather than using the internal RSACC provision. At this time there are 15 University clients on the waiting list for the RSACC service delivered within the CMHS.</w:t>
      </w:r>
    </w:p>
    <w:p w14:paraId="7BCE2C18" w14:textId="74F9EA30" w:rsidR="00DC5CAE" w:rsidRPr="0078767C" w:rsidRDefault="00A44B0D" w:rsidP="00DC5CAE">
      <w:pPr>
        <w:pStyle w:val="TextunderNumbered"/>
        <w:numPr>
          <w:ilvl w:val="1"/>
          <w:numId w:val="17"/>
        </w:numPr>
        <w:shd w:val="clear" w:color="auto" w:fill="auto"/>
        <w:spacing w:before="240"/>
        <w:ind w:left="540" w:hanging="824"/>
        <w:rPr>
          <w:b/>
          <w:bCs/>
        </w:rPr>
      </w:pPr>
      <w:r w:rsidRPr="0078767C">
        <w:rPr>
          <w:b/>
          <w:bCs/>
        </w:rPr>
        <w:t xml:space="preserve">The Counselling and Mental Health Service (CMHS) </w:t>
      </w:r>
      <w:r w:rsidRPr="0078767C">
        <w:t xml:space="preserve">is </w:t>
      </w:r>
      <w:r w:rsidR="00DC5CAE" w:rsidRPr="0078767C">
        <w:t>available to support Reporting and Responding Parties during an investigation. A representative from CMHS participates in each</w:t>
      </w:r>
      <w:r w:rsidR="00AD189A" w:rsidRPr="0078767C">
        <w:t xml:space="preserve"> student</w:t>
      </w:r>
      <w:r w:rsidR="00DC5CAE" w:rsidRPr="0078767C">
        <w:t xml:space="preserve"> Initial Review Meeting to ensure that support for the mental health of each party involved in a formal report to the Police and/or University is considered. In addition, the CMHS offers each student in a formal case an optional 30-minute counselling appointment at the end of the investigation following the outcome meeting to process the outcome.</w:t>
      </w:r>
    </w:p>
    <w:p w14:paraId="46BA13BE" w14:textId="6CEA57B7" w:rsidR="00A44B0D" w:rsidRPr="0078767C" w:rsidRDefault="00A44B0D" w:rsidP="00244C00">
      <w:pPr>
        <w:pStyle w:val="TextunderNumbered"/>
        <w:numPr>
          <w:ilvl w:val="1"/>
          <w:numId w:val="17"/>
        </w:numPr>
        <w:shd w:val="clear" w:color="auto" w:fill="auto"/>
        <w:spacing w:before="240"/>
        <w:ind w:left="540" w:hanging="824"/>
        <w:rPr>
          <w:b/>
          <w:bCs/>
        </w:rPr>
      </w:pPr>
      <w:r w:rsidRPr="0078767C">
        <w:rPr>
          <w:b/>
        </w:rPr>
        <w:t>College Student Support Offices</w:t>
      </w:r>
      <w:r w:rsidRPr="0078767C">
        <w:rPr>
          <w:bCs/>
        </w:rPr>
        <w:t xml:space="preserve"> provide general support for students involved in internal and/or external investigations. A dedicated support contact within the College is assigned to support the student through the investigation and support is always separated, meaning one employee would not support the Reporting and Responding Parties</w:t>
      </w:r>
      <w:r w:rsidR="00AD189A" w:rsidRPr="0078767C">
        <w:rPr>
          <w:bCs/>
        </w:rPr>
        <w:t xml:space="preserve"> in the same case</w:t>
      </w:r>
      <w:r w:rsidRPr="0078767C">
        <w:rPr>
          <w:bCs/>
        </w:rPr>
        <w:t xml:space="preserve">. Most often, support is provided by a Student Support Officer or Assistant Principal, however, depending on the support needs of a case, the Vice-Principal or Principal may also be assigned to support a student in their </w:t>
      </w:r>
      <w:r w:rsidR="00AD189A" w:rsidRPr="0078767C">
        <w:rPr>
          <w:bCs/>
        </w:rPr>
        <w:t>C</w:t>
      </w:r>
      <w:r w:rsidRPr="0078767C">
        <w:rPr>
          <w:bCs/>
        </w:rPr>
        <w:t>ollege. In some cases where both parties are members of the same College, the support may be provided by staff in another College as appropriate.</w:t>
      </w:r>
    </w:p>
    <w:p w14:paraId="71BEFB9F" w14:textId="40D69DFE" w:rsidR="00D16698" w:rsidRPr="0078767C" w:rsidRDefault="00D16698" w:rsidP="00244C00">
      <w:pPr>
        <w:pStyle w:val="TextunderNumbered"/>
        <w:numPr>
          <w:ilvl w:val="1"/>
          <w:numId w:val="17"/>
        </w:numPr>
        <w:shd w:val="clear" w:color="auto" w:fill="auto"/>
        <w:spacing w:before="240"/>
        <w:ind w:left="540" w:hanging="824"/>
        <w:rPr>
          <w:b/>
          <w:bCs/>
        </w:rPr>
      </w:pPr>
      <w:r w:rsidRPr="0078767C">
        <w:rPr>
          <w:b/>
        </w:rPr>
        <w:lastRenderedPageBreak/>
        <w:t>Student Support Officers and Managers</w:t>
      </w:r>
      <w:r w:rsidRPr="0078767C">
        <w:rPr>
          <w:bCs/>
        </w:rPr>
        <w:t xml:space="preserve"> </w:t>
      </w:r>
      <w:r w:rsidR="00AD189A" w:rsidRPr="0078767C">
        <w:rPr>
          <w:bCs/>
        </w:rPr>
        <w:t xml:space="preserve">within the academic departments </w:t>
      </w:r>
      <w:r w:rsidRPr="0078767C">
        <w:rPr>
          <w:bCs/>
        </w:rPr>
        <w:t xml:space="preserve">are </w:t>
      </w:r>
      <w:r w:rsidR="00AD189A" w:rsidRPr="0078767C">
        <w:rPr>
          <w:bCs/>
        </w:rPr>
        <w:t xml:space="preserve">also </w:t>
      </w:r>
      <w:r w:rsidRPr="0078767C">
        <w:rPr>
          <w:bCs/>
        </w:rPr>
        <w:t xml:space="preserve">trained </w:t>
      </w:r>
      <w:r w:rsidR="00AD189A" w:rsidRPr="0078767C">
        <w:rPr>
          <w:bCs/>
        </w:rPr>
        <w:t xml:space="preserve">to respond to disclosures of SMV and to work with College Student Support Offices and the Student Conduct Office to ensure students are supported following disclosures and/or reports and during investigations. </w:t>
      </w:r>
      <w:r w:rsidRPr="0078767C">
        <w:rPr>
          <w:bCs/>
        </w:rPr>
        <w:t xml:space="preserve"> </w:t>
      </w:r>
    </w:p>
    <w:p w14:paraId="452FDF8C" w14:textId="65AD5C48" w:rsidR="00F12833" w:rsidRPr="0078767C" w:rsidRDefault="00F12833" w:rsidP="00244C00">
      <w:pPr>
        <w:pStyle w:val="TextunderNumbered"/>
        <w:numPr>
          <w:ilvl w:val="1"/>
          <w:numId w:val="17"/>
        </w:numPr>
        <w:shd w:val="clear" w:color="auto" w:fill="auto"/>
        <w:spacing w:before="240"/>
        <w:ind w:left="540" w:hanging="824"/>
        <w:rPr>
          <w:b/>
          <w:bCs/>
        </w:rPr>
      </w:pPr>
      <w:r w:rsidRPr="0078767C">
        <w:rPr>
          <w:bCs/>
        </w:rPr>
        <w:t>The figures above represent the numbers of cases centrally recorded by the Student Conduct Office. The numbers alone do not represent the complexity of the individual cases and the amount of resource required to support Reporting Parties, Responding Parties and witnesses through internal and</w:t>
      </w:r>
      <w:r w:rsidR="005F5083" w:rsidRPr="0078767C">
        <w:rPr>
          <w:bCs/>
        </w:rPr>
        <w:t>/or</w:t>
      </w:r>
      <w:r w:rsidRPr="0078767C">
        <w:rPr>
          <w:bCs/>
        </w:rPr>
        <w:t xml:space="preserve"> external </w:t>
      </w:r>
      <w:r w:rsidR="00A965E5" w:rsidRPr="0078767C">
        <w:rPr>
          <w:bCs/>
        </w:rPr>
        <w:t xml:space="preserve">investigation </w:t>
      </w:r>
      <w:r w:rsidRPr="0078767C">
        <w:rPr>
          <w:bCs/>
        </w:rPr>
        <w:t xml:space="preserve">proceedings and beyond </w:t>
      </w:r>
      <w:r w:rsidR="000B7E3F" w:rsidRPr="0078767C">
        <w:rPr>
          <w:bCs/>
        </w:rPr>
        <w:t xml:space="preserve">or in lieu of </w:t>
      </w:r>
      <w:r w:rsidRPr="0078767C">
        <w:rPr>
          <w:bCs/>
        </w:rPr>
        <w:t xml:space="preserve">formal processes. </w:t>
      </w:r>
    </w:p>
    <w:p w14:paraId="08FFEA3C" w14:textId="63C65856" w:rsidR="00F12833" w:rsidRPr="0078767C" w:rsidRDefault="00F12833" w:rsidP="00F82E0C">
      <w:pPr>
        <w:pStyle w:val="TextunderNumbered"/>
        <w:numPr>
          <w:ilvl w:val="1"/>
          <w:numId w:val="17"/>
        </w:numPr>
        <w:shd w:val="clear" w:color="auto" w:fill="auto"/>
        <w:spacing w:before="240"/>
        <w:ind w:left="540" w:hanging="824"/>
        <w:rPr>
          <w:bCs/>
        </w:rPr>
      </w:pPr>
      <w:r w:rsidRPr="0078767C">
        <w:rPr>
          <w:bCs/>
        </w:rPr>
        <w:t>This data only reflects disclosures related to SMV which occurred while students/</w:t>
      </w:r>
      <w:r w:rsidR="005F5083" w:rsidRPr="0078767C">
        <w:rPr>
          <w:bCs/>
        </w:rPr>
        <w:t>employees</w:t>
      </w:r>
      <w:r w:rsidRPr="0078767C">
        <w:rPr>
          <w:bCs/>
        </w:rPr>
        <w:t xml:space="preserve"> were members of the University community regardless of the location of the incident. This data does not reflect students and staff dealing with historic sexual violence and abuse and other forms of gender-based violence who also require</w:t>
      </w:r>
      <w:r w:rsidR="00DE223C" w:rsidRPr="0078767C">
        <w:rPr>
          <w:bCs/>
        </w:rPr>
        <w:t xml:space="preserve">/seek </w:t>
      </w:r>
      <w:r w:rsidRPr="0078767C">
        <w:rPr>
          <w:bCs/>
        </w:rPr>
        <w:t>support whilst they are</w:t>
      </w:r>
      <w:r w:rsidR="000D2D41" w:rsidRPr="0078767C">
        <w:rPr>
          <w:bCs/>
        </w:rPr>
        <w:t xml:space="preserve"> students or employees of Durham University</w:t>
      </w:r>
      <w:r w:rsidRPr="0078767C">
        <w:rPr>
          <w:bCs/>
        </w:rPr>
        <w:t>.</w:t>
      </w:r>
    </w:p>
    <w:p w14:paraId="52C9E62F" w14:textId="1D8F3B68" w:rsidR="007E704E" w:rsidRPr="00990003" w:rsidRDefault="007E704E" w:rsidP="004163E4">
      <w:pPr>
        <w:pStyle w:val="TextunderNumbered"/>
        <w:numPr>
          <w:ilvl w:val="0"/>
          <w:numId w:val="0"/>
        </w:numPr>
        <w:shd w:val="clear" w:color="auto" w:fill="auto"/>
        <w:spacing w:before="240"/>
        <w:ind w:left="540"/>
        <w:rPr>
          <w:rFonts w:eastAsiaTheme="majorEastAsia" w:cstheme="majorBidi"/>
          <w:b/>
          <w:bCs/>
          <w:color w:val="68246D"/>
          <w:kern w:val="32"/>
        </w:rPr>
      </w:pPr>
      <w:r w:rsidRPr="00990003">
        <w:br w:type="page"/>
      </w:r>
    </w:p>
    <w:p w14:paraId="061EA22C" w14:textId="4AFF23FF" w:rsidR="00562D3C" w:rsidRPr="00990003" w:rsidRDefault="00562D3C" w:rsidP="00562D3C">
      <w:pPr>
        <w:pStyle w:val="NumberedHeading"/>
        <w:numPr>
          <w:ilvl w:val="0"/>
          <w:numId w:val="0"/>
        </w:numPr>
      </w:pPr>
      <w:r w:rsidRPr="00990003">
        <w:lastRenderedPageBreak/>
        <w:t xml:space="preserve">Appendix </w:t>
      </w:r>
      <w:r w:rsidR="00C11CA5">
        <w:t>B</w:t>
      </w:r>
    </w:p>
    <w:p w14:paraId="0CADDD52" w14:textId="15938FA6" w:rsidR="009C143C" w:rsidRPr="00990003" w:rsidRDefault="009C143C" w:rsidP="009C143C">
      <w:pPr>
        <w:pStyle w:val="TextunderNumbered"/>
        <w:numPr>
          <w:ilvl w:val="0"/>
          <w:numId w:val="0"/>
        </w:numPr>
        <w:ind w:left="567" w:hanging="567"/>
        <w:jc w:val="center"/>
        <w:rPr>
          <w:b/>
          <w:szCs w:val="22"/>
        </w:rPr>
      </w:pPr>
      <w:r w:rsidRPr="00990003">
        <w:rPr>
          <w:b/>
          <w:szCs w:val="22"/>
        </w:rPr>
        <w:t xml:space="preserve">References and New Sector Guidance </w:t>
      </w:r>
    </w:p>
    <w:p w14:paraId="051043A5" w14:textId="58495B72" w:rsidR="009C143C" w:rsidRPr="00990003" w:rsidRDefault="009C143C" w:rsidP="00F82E0C">
      <w:pPr>
        <w:pStyle w:val="TextunderNumbered"/>
        <w:numPr>
          <w:ilvl w:val="0"/>
          <w:numId w:val="0"/>
        </w:numPr>
        <w:rPr>
          <w:szCs w:val="22"/>
        </w:rPr>
      </w:pPr>
      <w:r w:rsidRPr="00990003">
        <w:rPr>
          <w:szCs w:val="22"/>
        </w:rPr>
        <w:t xml:space="preserve">Along with references made in the paper, this is a list of key publications that focus on best practice </w:t>
      </w:r>
      <w:r w:rsidR="000B7E3F" w:rsidRPr="00990003">
        <w:rPr>
          <w:szCs w:val="22"/>
        </w:rPr>
        <w:t xml:space="preserve">in addressing </w:t>
      </w:r>
      <w:r w:rsidR="007748EE">
        <w:rPr>
          <w:szCs w:val="22"/>
        </w:rPr>
        <w:t>SMV</w:t>
      </w:r>
      <w:r w:rsidR="000B7E3F" w:rsidRPr="00990003">
        <w:rPr>
          <w:szCs w:val="22"/>
        </w:rPr>
        <w:t xml:space="preserve"> in the sector </w:t>
      </w:r>
      <w:r w:rsidRPr="00990003">
        <w:rPr>
          <w:szCs w:val="22"/>
        </w:rPr>
        <w:t xml:space="preserve">that are </w:t>
      </w:r>
      <w:r w:rsidRPr="00990003">
        <w:rPr>
          <w:b/>
          <w:bCs/>
          <w:szCs w:val="22"/>
        </w:rPr>
        <w:t>new</w:t>
      </w:r>
      <w:r w:rsidRPr="00990003">
        <w:rPr>
          <w:szCs w:val="22"/>
        </w:rPr>
        <w:t xml:space="preserve"> since the last </w:t>
      </w:r>
      <w:r w:rsidR="007748EE">
        <w:rPr>
          <w:szCs w:val="22"/>
        </w:rPr>
        <w:t xml:space="preserve">SMV </w:t>
      </w:r>
      <w:r w:rsidRPr="00990003">
        <w:rPr>
          <w:szCs w:val="22"/>
        </w:rPr>
        <w:t xml:space="preserve">Annual Trend Monitoring Paper was </w:t>
      </w:r>
      <w:r w:rsidR="00DF2189">
        <w:rPr>
          <w:szCs w:val="22"/>
        </w:rPr>
        <w:t>written in 2023</w:t>
      </w:r>
      <w:r w:rsidR="00B76FF5" w:rsidRPr="00990003">
        <w:rPr>
          <w:szCs w:val="22"/>
        </w:rPr>
        <w:t>.</w:t>
      </w:r>
    </w:p>
    <w:p w14:paraId="504111A6" w14:textId="77777777" w:rsidR="00557528" w:rsidRDefault="00557528" w:rsidP="00557528">
      <w:pPr>
        <w:spacing w:after="240"/>
        <w:rPr>
          <w:rFonts w:cs="Arial"/>
        </w:rPr>
      </w:pPr>
      <w:r w:rsidRPr="00557528">
        <w:rPr>
          <w:rFonts w:cs="Arial"/>
          <w:i/>
          <w:iCs/>
        </w:rPr>
        <w:t xml:space="preserve">AB v University of XYZ </w:t>
      </w:r>
      <w:r w:rsidRPr="00557528">
        <w:rPr>
          <w:rFonts w:cs="Arial"/>
        </w:rPr>
        <w:t xml:space="preserve">(2023) EWHC 1162 </w:t>
      </w:r>
    </w:p>
    <w:p w14:paraId="4909F962" w14:textId="4999C605" w:rsidR="00557528" w:rsidRPr="00DF2189" w:rsidRDefault="00DF2189" w:rsidP="00DF2189">
      <w:pPr>
        <w:spacing w:after="240"/>
        <w:ind w:left="720" w:hanging="720"/>
        <w:rPr>
          <w:rFonts w:cs="Arial"/>
        </w:rPr>
      </w:pPr>
      <w:r>
        <w:rPr>
          <w:rFonts w:cs="Arial"/>
        </w:rPr>
        <w:t xml:space="preserve">Bull, A., DiSantis, C.J., Bezzolato, E., &amp; Price-Jones, G. (2024). </w:t>
      </w:r>
      <w:hyperlink r:id="rId24" w:history="1">
        <w:r w:rsidRPr="00DF2189">
          <w:rPr>
            <w:rStyle w:val="Hyperlink"/>
            <w:rFonts w:cs="Arial"/>
            <w:i/>
            <w:iCs/>
          </w:rPr>
          <w:t>Briefing note no.4: Why higher education institutions should join the Misconduct Disclosure Scheme.</w:t>
        </w:r>
      </w:hyperlink>
      <w:r>
        <w:rPr>
          <w:rFonts w:cs="Arial"/>
        </w:rPr>
        <w:t xml:space="preserve"> The 1752 Group and Misconduct Disclosure Scheme.</w:t>
      </w:r>
    </w:p>
    <w:p w14:paraId="57BF0833" w14:textId="668D27E9" w:rsidR="00557528" w:rsidRPr="00557528" w:rsidRDefault="00557528" w:rsidP="00557528">
      <w:pPr>
        <w:spacing w:after="240"/>
        <w:ind w:left="720" w:hanging="720"/>
        <w:rPr>
          <w:rFonts w:cs="Arial"/>
          <w:i/>
          <w:iCs/>
        </w:rPr>
      </w:pPr>
      <w:r w:rsidRPr="00557528">
        <w:rPr>
          <w:rFonts w:cs="Arial"/>
          <w:i/>
          <w:iCs/>
        </w:rPr>
        <w:t xml:space="preserve">Feder and McCamish v Royal Welsh College of Music and Drama </w:t>
      </w:r>
      <w:r w:rsidRPr="00557528">
        <w:rPr>
          <w:rFonts w:cs="Arial"/>
        </w:rPr>
        <w:t>(2023), County Court Central London, cases G67YJ147 and G67YJ153</w:t>
      </w:r>
    </w:p>
    <w:p w14:paraId="0F4152DA" w14:textId="78BBDCBE" w:rsidR="00154260" w:rsidRPr="00990003" w:rsidRDefault="00154260" w:rsidP="00557528">
      <w:pPr>
        <w:spacing w:after="240"/>
        <w:ind w:left="720" w:hanging="720"/>
        <w:rPr>
          <w:rFonts w:cs="Arial"/>
          <w:szCs w:val="22"/>
        </w:rPr>
      </w:pPr>
      <w:r w:rsidRPr="00990003">
        <w:rPr>
          <w:rFonts w:cs="Arial"/>
          <w:szCs w:val="22"/>
        </w:rPr>
        <w:t>Humphreys, C.</w:t>
      </w:r>
      <w:r w:rsidR="00003EFA">
        <w:rPr>
          <w:rFonts w:cs="Arial"/>
          <w:szCs w:val="22"/>
        </w:rPr>
        <w:t xml:space="preserve"> </w:t>
      </w:r>
      <w:r w:rsidRPr="00990003">
        <w:rPr>
          <w:rFonts w:cs="Arial"/>
          <w:szCs w:val="22"/>
        </w:rPr>
        <w:t>J.</w:t>
      </w:r>
      <w:r w:rsidR="00003EFA">
        <w:rPr>
          <w:rFonts w:cs="Arial"/>
          <w:szCs w:val="22"/>
        </w:rPr>
        <w:t xml:space="preserve"> &amp; </w:t>
      </w:r>
      <w:r w:rsidRPr="00990003">
        <w:rPr>
          <w:rFonts w:cs="Arial"/>
          <w:szCs w:val="22"/>
        </w:rPr>
        <w:t>Towl, G.</w:t>
      </w:r>
      <w:r w:rsidR="00003EFA">
        <w:rPr>
          <w:rFonts w:cs="Arial"/>
          <w:szCs w:val="22"/>
        </w:rPr>
        <w:t xml:space="preserve"> </w:t>
      </w:r>
      <w:r w:rsidRPr="00990003">
        <w:rPr>
          <w:rFonts w:cs="Arial"/>
          <w:szCs w:val="22"/>
        </w:rPr>
        <w:t xml:space="preserve">J. (2020). </w:t>
      </w:r>
      <w:hyperlink r:id="rId25" w:history="1">
        <w:r w:rsidRPr="00990003">
          <w:rPr>
            <w:rStyle w:val="Hyperlink"/>
            <w:rFonts w:cs="Arial"/>
            <w:i/>
            <w:iCs/>
            <w:szCs w:val="22"/>
          </w:rPr>
          <w:t>Addressing Student Sexual Violence in Higher Education: A Good Practice Guide</w:t>
        </w:r>
      </w:hyperlink>
      <w:r w:rsidRPr="00990003">
        <w:rPr>
          <w:rFonts w:cs="Arial"/>
          <w:szCs w:val="22"/>
        </w:rPr>
        <w:t xml:space="preserve">. Emerald Group Publishing. </w:t>
      </w:r>
    </w:p>
    <w:p w14:paraId="5EC5F5ED" w14:textId="4A8D1BB3" w:rsidR="00D5615C" w:rsidRDefault="00154260" w:rsidP="00557528">
      <w:pPr>
        <w:spacing w:after="240"/>
        <w:ind w:left="720" w:hanging="720"/>
        <w:rPr>
          <w:rFonts w:cs="Arial"/>
          <w:szCs w:val="22"/>
        </w:rPr>
      </w:pPr>
      <w:r w:rsidRPr="00990003">
        <w:rPr>
          <w:rFonts w:cs="Arial"/>
          <w:szCs w:val="22"/>
        </w:rPr>
        <w:t>Humphreys, C.</w:t>
      </w:r>
      <w:r w:rsidR="00003EFA">
        <w:rPr>
          <w:rFonts w:cs="Arial"/>
          <w:szCs w:val="22"/>
        </w:rPr>
        <w:t xml:space="preserve"> </w:t>
      </w:r>
      <w:r w:rsidRPr="00990003">
        <w:rPr>
          <w:rFonts w:cs="Arial"/>
          <w:szCs w:val="22"/>
        </w:rPr>
        <w:t>J. &amp; Towl, G.</w:t>
      </w:r>
      <w:r w:rsidR="00003EFA">
        <w:rPr>
          <w:rFonts w:cs="Arial"/>
          <w:szCs w:val="22"/>
        </w:rPr>
        <w:t xml:space="preserve"> </w:t>
      </w:r>
      <w:r w:rsidRPr="00990003">
        <w:rPr>
          <w:rFonts w:cs="Arial"/>
          <w:szCs w:val="22"/>
        </w:rPr>
        <w:t xml:space="preserve">J. </w:t>
      </w:r>
      <w:r w:rsidR="007748EE">
        <w:rPr>
          <w:rFonts w:cs="Arial"/>
          <w:szCs w:val="22"/>
        </w:rPr>
        <w:t>(2023</w:t>
      </w:r>
      <w:r w:rsidR="00CA4938">
        <w:rPr>
          <w:rFonts w:cs="Arial"/>
          <w:szCs w:val="22"/>
        </w:rPr>
        <w:t>a</w:t>
      </w:r>
      <w:r w:rsidR="007748EE">
        <w:rPr>
          <w:rFonts w:cs="Arial"/>
          <w:szCs w:val="22"/>
        </w:rPr>
        <w:t>). We should do something (someday): Identifying and working through resistance to gender-based violence prevention</w:t>
      </w:r>
      <w:r w:rsidRPr="00990003">
        <w:rPr>
          <w:rFonts w:cs="Arial"/>
          <w:szCs w:val="22"/>
        </w:rPr>
        <w:t>.</w:t>
      </w:r>
      <w:r w:rsidR="007748EE" w:rsidRPr="007748EE">
        <w:rPr>
          <w:rFonts w:cs="Arial"/>
          <w:color w:val="000000" w:themeColor="text1"/>
        </w:rPr>
        <w:t xml:space="preserve"> </w:t>
      </w:r>
      <w:r w:rsidR="007748EE" w:rsidRPr="00990003">
        <w:rPr>
          <w:rFonts w:cs="Arial"/>
          <w:color w:val="000000" w:themeColor="text1"/>
        </w:rPr>
        <w:t>In C.J. Humphreys &amp; G.J. Towl (Eds.)</w:t>
      </w:r>
      <w:r w:rsidR="007748EE" w:rsidRPr="00990003">
        <w:t xml:space="preserve"> </w:t>
      </w:r>
      <w:hyperlink r:id="rId26" w:history="1">
        <w:r w:rsidR="007748EE" w:rsidRPr="00990003">
          <w:rPr>
            <w:rStyle w:val="Hyperlink"/>
            <w:rFonts w:cs="Arial"/>
            <w:i/>
            <w:iCs/>
            <w:szCs w:val="22"/>
          </w:rPr>
          <w:t>Stopping gender-based violence in higher education: Policy, practice, and partnerships</w:t>
        </w:r>
      </w:hyperlink>
      <w:r w:rsidR="007748EE" w:rsidRPr="00990003">
        <w:rPr>
          <w:rFonts w:cs="Arial"/>
          <w:i/>
          <w:iCs/>
          <w:szCs w:val="22"/>
        </w:rPr>
        <w:t xml:space="preserve">. </w:t>
      </w:r>
      <w:r w:rsidR="007748EE" w:rsidRPr="00990003">
        <w:rPr>
          <w:rFonts w:cs="Arial"/>
          <w:szCs w:val="22"/>
        </w:rPr>
        <w:t>Routledge.</w:t>
      </w:r>
    </w:p>
    <w:p w14:paraId="381D2D80" w14:textId="358E3432" w:rsidR="007748EE" w:rsidRPr="00990003" w:rsidRDefault="007748EE" w:rsidP="00557528">
      <w:pPr>
        <w:spacing w:after="240"/>
        <w:ind w:left="720" w:hanging="720"/>
        <w:rPr>
          <w:rFonts w:cs="Arial"/>
          <w:szCs w:val="22"/>
        </w:rPr>
      </w:pPr>
      <w:r w:rsidRPr="00990003">
        <w:rPr>
          <w:rFonts w:cs="Arial"/>
          <w:szCs w:val="22"/>
        </w:rPr>
        <w:t>Humphreys, C.</w:t>
      </w:r>
      <w:r w:rsidR="00003EFA">
        <w:rPr>
          <w:rFonts w:cs="Arial"/>
          <w:szCs w:val="22"/>
        </w:rPr>
        <w:t xml:space="preserve"> </w:t>
      </w:r>
      <w:r w:rsidRPr="00990003">
        <w:rPr>
          <w:rFonts w:cs="Arial"/>
          <w:szCs w:val="22"/>
        </w:rPr>
        <w:t>J. &amp; Towl, G.</w:t>
      </w:r>
      <w:r w:rsidR="00003EFA">
        <w:rPr>
          <w:rFonts w:cs="Arial"/>
          <w:szCs w:val="22"/>
        </w:rPr>
        <w:t xml:space="preserve"> </w:t>
      </w:r>
      <w:r w:rsidRPr="00990003">
        <w:rPr>
          <w:rFonts w:cs="Arial"/>
          <w:szCs w:val="22"/>
        </w:rPr>
        <w:t>J. (Eds.). (2023</w:t>
      </w:r>
      <w:r w:rsidR="00CA4938">
        <w:rPr>
          <w:rFonts w:cs="Arial"/>
          <w:szCs w:val="22"/>
        </w:rPr>
        <w:t>b</w:t>
      </w:r>
      <w:r w:rsidRPr="00990003">
        <w:rPr>
          <w:rFonts w:cs="Arial"/>
          <w:szCs w:val="22"/>
        </w:rPr>
        <w:t>).</w:t>
      </w:r>
      <w:hyperlink r:id="rId27" w:history="1">
        <w:r w:rsidRPr="00990003">
          <w:rPr>
            <w:rStyle w:val="Hyperlink"/>
            <w:rFonts w:cs="Arial"/>
            <w:i/>
            <w:iCs/>
            <w:szCs w:val="22"/>
          </w:rPr>
          <w:t xml:space="preserve"> Stopping gender-based violence in higher education: Policy, practice, and partnerships</w:t>
        </w:r>
      </w:hyperlink>
      <w:r w:rsidRPr="00990003">
        <w:rPr>
          <w:rFonts w:cs="Arial"/>
          <w:i/>
          <w:iCs/>
          <w:szCs w:val="22"/>
        </w:rPr>
        <w:t xml:space="preserve">. </w:t>
      </w:r>
      <w:r w:rsidRPr="00990003">
        <w:rPr>
          <w:rFonts w:cs="Arial"/>
          <w:szCs w:val="22"/>
        </w:rPr>
        <w:t>Routledge.</w:t>
      </w:r>
    </w:p>
    <w:p w14:paraId="06BECDC1" w14:textId="31A5E5A6" w:rsidR="00D5615C" w:rsidRPr="00990003" w:rsidRDefault="00D5615C" w:rsidP="00557528">
      <w:pPr>
        <w:spacing w:after="240"/>
        <w:ind w:left="720" w:hanging="720"/>
        <w:rPr>
          <w:rFonts w:cs="Arial"/>
          <w:szCs w:val="22"/>
        </w:rPr>
      </w:pPr>
      <w:r w:rsidRPr="00990003">
        <w:rPr>
          <w:rFonts w:cs="Arial"/>
          <w:szCs w:val="22"/>
        </w:rPr>
        <w:t>Maher, C. (2023).</w:t>
      </w:r>
      <w:r w:rsidRPr="00DF2189">
        <w:rPr>
          <w:rFonts w:cs="Arial"/>
          <w:i/>
          <w:iCs/>
          <w:szCs w:val="22"/>
        </w:rPr>
        <w:t xml:space="preserve"> </w:t>
      </w:r>
      <w:hyperlink r:id="rId28" w:history="1">
        <w:r w:rsidRPr="00DF2189">
          <w:rPr>
            <w:rStyle w:val="Hyperlink"/>
            <w:rFonts w:cs="Arial"/>
            <w:i/>
            <w:iCs/>
            <w:szCs w:val="22"/>
          </w:rPr>
          <w:t>University of York on how to handle anonymous reports.</w:t>
        </w:r>
      </w:hyperlink>
      <w:r w:rsidRPr="00990003">
        <w:rPr>
          <w:rFonts w:cs="Arial"/>
          <w:szCs w:val="22"/>
        </w:rPr>
        <w:t xml:space="preserve"> Culture Shift.</w:t>
      </w:r>
    </w:p>
    <w:p w14:paraId="1BF2976C" w14:textId="2ED6621D" w:rsidR="00154260" w:rsidRDefault="00154260" w:rsidP="00557528">
      <w:pPr>
        <w:spacing w:after="240"/>
        <w:ind w:left="720" w:hanging="720"/>
        <w:rPr>
          <w:rFonts w:cs="Arial"/>
          <w:color w:val="000000" w:themeColor="text1"/>
        </w:rPr>
      </w:pPr>
      <w:r w:rsidRPr="00990003">
        <w:rPr>
          <w:rFonts w:cs="Arial"/>
        </w:rPr>
        <w:t xml:space="preserve">Office for Students. (2021). </w:t>
      </w:r>
      <w:hyperlink r:id="rId29" w:history="1">
        <w:r w:rsidRPr="00990003">
          <w:rPr>
            <w:rStyle w:val="Hyperlink"/>
            <w:rFonts w:cs="Arial"/>
            <w:i/>
            <w:iCs/>
          </w:rPr>
          <w:t>Statement of expectations for preventing and addressing harassment and sexual misconduct affecting students in higher education</w:t>
        </w:r>
        <w:r w:rsidRPr="00990003">
          <w:rPr>
            <w:rStyle w:val="Hyperlink"/>
            <w:rFonts w:cs="Arial"/>
          </w:rPr>
          <w:t>.</w:t>
        </w:r>
      </w:hyperlink>
      <w:r w:rsidRPr="00990003">
        <w:rPr>
          <w:rFonts w:cs="Arial"/>
          <w:color w:val="000000" w:themeColor="text1"/>
        </w:rPr>
        <w:t xml:space="preserve"> </w:t>
      </w:r>
    </w:p>
    <w:p w14:paraId="754FE640" w14:textId="4D807DBE" w:rsidR="003E6192" w:rsidRPr="00990003" w:rsidRDefault="003E6192" w:rsidP="00557528">
      <w:pPr>
        <w:spacing w:after="240"/>
        <w:ind w:left="720" w:hanging="720"/>
        <w:rPr>
          <w:rFonts w:cs="Arial"/>
          <w:color w:val="000000" w:themeColor="text1"/>
        </w:rPr>
      </w:pPr>
      <w:r>
        <w:t xml:space="preserve">Office of the Independent Adjudicator for Higher Education. (2018). </w:t>
      </w:r>
      <w:hyperlink r:id="rId30" w:history="1">
        <w:r w:rsidRPr="0064139E">
          <w:rPr>
            <w:rStyle w:val="Hyperlink"/>
            <w:i/>
            <w:iCs/>
          </w:rPr>
          <w:t>The good practice framework: Disciplinary procedures.</w:t>
        </w:r>
      </w:hyperlink>
      <w:r>
        <w:t xml:space="preserve"> </w:t>
      </w:r>
    </w:p>
    <w:p w14:paraId="2FA5923B" w14:textId="77777777" w:rsidR="00003EFA" w:rsidRDefault="004F45DA" w:rsidP="00557528">
      <w:pPr>
        <w:spacing w:after="240"/>
        <w:ind w:left="720" w:hanging="720"/>
        <w:rPr>
          <w:rFonts w:cs="Arial"/>
          <w:color w:val="000000" w:themeColor="text1"/>
        </w:rPr>
      </w:pPr>
      <w:r w:rsidRPr="00990003">
        <w:rPr>
          <w:rFonts w:cs="Arial"/>
          <w:color w:val="000000" w:themeColor="text1"/>
        </w:rPr>
        <w:t>Prince, K. &amp; Franklin-Corben, P. (2023). Case management as a dedicated role responding to gender-based violence in Higher Education. In C.J. Humphreys &amp; G.J. Towl (Eds.)</w:t>
      </w:r>
      <w:r w:rsidRPr="00990003">
        <w:t xml:space="preserve"> </w:t>
      </w:r>
      <w:hyperlink r:id="rId31" w:history="1">
        <w:r w:rsidRPr="00990003">
          <w:rPr>
            <w:rStyle w:val="Hyperlink"/>
            <w:rFonts w:cs="Arial"/>
            <w:i/>
            <w:iCs/>
            <w:szCs w:val="22"/>
          </w:rPr>
          <w:t xml:space="preserve"> Stopping gender-based violence in higher education: Policy, practice, and partnerships</w:t>
        </w:r>
      </w:hyperlink>
      <w:r w:rsidRPr="00990003">
        <w:rPr>
          <w:rFonts w:cs="Arial"/>
          <w:i/>
          <w:iCs/>
          <w:szCs w:val="22"/>
        </w:rPr>
        <w:t xml:space="preserve">. </w:t>
      </w:r>
      <w:r w:rsidRPr="00990003">
        <w:rPr>
          <w:rFonts w:cs="Arial"/>
          <w:szCs w:val="22"/>
        </w:rPr>
        <w:t>Routledge.</w:t>
      </w:r>
    </w:p>
    <w:p w14:paraId="2A3F651B" w14:textId="6FB59B49" w:rsidR="00003EFA" w:rsidRPr="00003EFA" w:rsidRDefault="00003EFA" w:rsidP="00557528">
      <w:pPr>
        <w:spacing w:after="240"/>
        <w:ind w:left="720" w:hanging="720"/>
        <w:rPr>
          <w:rFonts w:cs="Arial"/>
          <w:color w:val="000000" w:themeColor="text1"/>
        </w:rPr>
        <w:sectPr w:rsidR="00003EFA" w:rsidRPr="00003EFA" w:rsidSect="004A4447">
          <w:headerReference w:type="default" r:id="rId32"/>
          <w:footerReference w:type="default" r:id="rId33"/>
          <w:headerReference w:type="first" r:id="rId34"/>
          <w:footerReference w:type="first" r:id="rId35"/>
          <w:pgSz w:w="11907" w:h="16839" w:code="9"/>
          <w:pgMar w:top="1276" w:right="1134" w:bottom="1276" w:left="1134" w:header="709" w:footer="503" w:gutter="0"/>
          <w:pgNumType w:start="1"/>
          <w:cols w:space="708"/>
          <w:titlePg/>
          <w:docGrid w:linePitch="360"/>
        </w:sectPr>
      </w:pPr>
      <w:r>
        <w:t>Universities UK, Pinsent Masons, Coventry University Group. (2023).</w:t>
      </w:r>
      <w:r w:rsidRPr="00DF2189">
        <w:rPr>
          <w:i/>
          <w:iCs/>
        </w:rPr>
        <w:t xml:space="preserve">  </w:t>
      </w:r>
      <w:hyperlink r:id="rId36" w:history="1">
        <w:r w:rsidRPr="00DF2189">
          <w:rPr>
            <w:rStyle w:val="Hyperlink"/>
            <w:i/>
            <w:iCs/>
          </w:rPr>
          <w:t>How to handle alleged student misconduct: case studies (universitiesuk.ac.uk)</w:t>
        </w:r>
      </w:hyperlink>
    </w:p>
    <w:p w14:paraId="6AB482DA" w14:textId="515964C4" w:rsidR="00911C73" w:rsidRPr="00990003" w:rsidRDefault="00911C73" w:rsidP="00911C73">
      <w:pPr>
        <w:pStyle w:val="NumberedHeading"/>
        <w:numPr>
          <w:ilvl w:val="0"/>
          <w:numId w:val="0"/>
        </w:numPr>
        <w:tabs>
          <w:tab w:val="left" w:pos="4008"/>
        </w:tabs>
      </w:pPr>
      <w:r w:rsidRPr="00990003">
        <w:lastRenderedPageBreak/>
        <w:t xml:space="preserve">APPENDIX </w:t>
      </w:r>
      <w:r w:rsidR="00C11CA5">
        <w:t>C</w:t>
      </w:r>
      <w:r w:rsidRPr="00990003">
        <w:tab/>
      </w:r>
      <w:r w:rsidRPr="00990003">
        <w:tab/>
      </w:r>
      <w:r w:rsidRPr="00990003">
        <w:tab/>
      </w:r>
    </w:p>
    <w:p w14:paraId="2A0CC2B5" w14:textId="6D7B96B5" w:rsidR="00911C73" w:rsidRPr="00990003" w:rsidRDefault="00A56206" w:rsidP="00911C73">
      <w:pPr>
        <w:rPr>
          <w:rFonts w:ascii="Gotham" w:hAnsi="Gotham"/>
          <w:sz w:val="56"/>
          <w:szCs w:val="72"/>
          <w:lang w:val="en-US" w:eastAsia="en-US"/>
        </w:rPr>
      </w:pPr>
      <w:r w:rsidRPr="00990003">
        <w:rPr>
          <w:rFonts w:ascii="Gotham" w:hAnsi="Gotham" w:cs="Calibri"/>
          <w:b/>
          <w:noProof/>
          <w:color w:val="002A41"/>
        </w:rPr>
        <w:drawing>
          <wp:anchor distT="0" distB="0" distL="114300" distR="114300" simplePos="0" relativeHeight="251660288" behindDoc="1" locked="0" layoutInCell="1" allowOverlap="1" wp14:anchorId="14B75EBA" wp14:editId="7487F823">
            <wp:simplePos x="0" y="0"/>
            <wp:positionH relativeFrom="column">
              <wp:posOffset>1905</wp:posOffset>
            </wp:positionH>
            <wp:positionV relativeFrom="paragraph">
              <wp:posOffset>20595</wp:posOffset>
            </wp:positionV>
            <wp:extent cx="3295650" cy="1098550"/>
            <wp:effectExtent l="0" t="0" r="0" b="6350"/>
            <wp:wrapTight wrapText="bothSides">
              <wp:wrapPolygon edited="0">
                <wp:start x="0" y="0"/>
                <wp:lineTo x="0" y="21350"/>
                <wp:lineTo x="21475" y="21350"/>
                <wp:lineTo x="2147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s banner resiz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295650" cy="1098550"/>
                    </a:xfrm>
                    <a:prstGeom prst="rect">
                      <a:avLst/>
                    </a:prstGeom>
                  </pic:spPr>
                </pic:pic>
              </a:graphicData>
            </a:graphic>
            <wp14:sizeRelH relativeFrom="page">
              <wp14:pctWidth>0</wp14:pctWidth>
            </wp14:sizeRelH>
            <wp14:sizeRelV relativeFrom="page">
              <wp14:pctHeight>0</wp14:pctHeight>
            </wp14:sizeRelV>
          </wp:anchor>
        </w:drawing>
      </w:r>
      <w:r w:rsidR="00911C73" w:rsidRPr="00990003">
        <w:rPr>
          <w:rFonts w:ascii="Gotham" w:hAnsi="Gotham" w:cs="Calibri"/>
          <w:b/>
          <w:noProof/>
          <w:color w:val="002A41"/>
        </w:rPr>
        <w:drawing>
          <wp:anchor distT="0" distB="0" distL="114300" distR="114300" simplePos="0" relativeHeight="251661312" behindDoc="1" locked="0" layoutInCell="1" allowOverlap="1" wp14:anchorId="46A91FC3" wp14:editId="61345501">
            <wp:simplePos x="0" y="0"/>
            <wp:positionH relativeFrom="column">
              <wp:posOffset>8238490</wp:posOffset>
            </wp:positionH>
            <wp:positionV relativeFrom="paragraph">
              <wp:posOffset>128270</wp:posOffset>
            </wp:positionV>
            <wp:extent cx="1314450" cy="774700"/>
            <wp:effectExtent l="0" t="0" r="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920DurhamUniversityMasterLogo_RGB.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314450" cy="774700"/>
                    </a:xfrm>
                    <a:prstGeom prst="rect">
                      <a:avLst/>
                    </a:prstGeom>
                  </pic:spPr>
                </pic:pic>
              </a:graphicData>
            </a:graphic>
            <wp14:sizeRelH relativeFrom="page">
              <wp14:pctWidth>0</wp14:pctWidth>
            </wp14:sizeRelH>
            <wp14:sizeRelV relativeFrom="page">
              <wp14:pctHeight>0</wp14:pctHeight>
            </wp14:sizeRelV>
          </wp:anchor>
        </w:drawing>
      </w:r>
    </w:p>
    <w:p w14:paraId="4696679B" w14:textId="77777777" w:rsidR="00911C73" w:rsidRPr="00990003" w:rsidRDefault="00911C73" w:rsidP="00911C73">
      <w:pPr>
        <w:rPr>
          <w:rFonts w:ascii="Gotham" w:eastAsia="Calibri" w:hAnsi="Gotham"/>
          <w:sz w:val="56"/>
          <w:szCs w:val="72"/>
          <w:lang w:val="en-US" w:eastAsia="en-US"/>
        </w:rPr>
      </w:pPr>
      <w:r w:rsidRPr="00990003">
        <w:rPr>
          <w:rFonts w:ascii="Gotham" w:hAnsi="Gotham"/>
          <w:sz w:val="56"/>
          <w:szCs w:val="72"/>
          <w:lang w:val="en-US" w:eastAsia="en-US"/>
        </w:rPr>
        <w:t xml:space="preserve">STUDENT TRAINING </w:t>
      </w:r>
    </w:p>
    <w:p w14:paraId="13117496" w14:textId="30B2792C" w:rsidR="00911C73" w:rsidRDefault="00A56206" w:rsidP="00911C73">
      <w:pPr>
        <w:rPr>
          <w:rFonts w:ascii="Gotham" w:hAnsi="Gotham" w:cs="Calibri"/>
          <w:color w:val="002A41"/>
          <w:sz w:val="26"/>
          <w:szCs w:val="26"/>
          <w:lang w:val="en-US" w:eastAsia="en-US"/>
        </w:rPr>
      </w:pPr>
      <w:r>
        <w:rPr>
          <w:rFonts w:ascii="Gotham" w:hAnsi="Gotham" w:cs="Calibri"/>
          <w:color w:val="002A41"/>
          <w:sz w:val="26"/>
          <w:szCs w:val="26"/>
          <w:lang w:val="en-US" w:eastAsia="en-US"/>
        </w:rPr>
        <w:t>2023/24</w:t>
      </w:r>
      <w:r w:rsidR="00911C73" w:rsidRPr="00990003">
        <w:rPr>
          <w:rFonts w:ascii="Gotham" w:hAnsi="Gotham" w:cs="Calibri"/>
          <w:color w:val="002A41"/>
          <w:sz w:val="26"/>
          <w:szCs w:val="26"/>
          <w:lang w:val="en-US" w:eastAsia="en-US"/>
        </w:rPr>
        <w:t xml:space="preserve"> Academic Year </w:t>
      </w:r>
    </w:p>
    <w:p w14:paraId="6D007E54" w14:textId="77777777" w:rsidR="00A56206" w:rsidRPr="00990003" w:rsidRDefault="00A56206" w:rsidP="00911C73">
      <w:pPr>
        <w:rPr>
          <w:rFonts w:ascii="Gotham" w:hAnsi="Gotham" w:cs="Calibri"/>
          <w:b/>
          <w:color w:val="002A41"/>
          <w:sz w:val="26"/>
          <w:szCs w:val="26"/>
          <w:lang w:val="en-US" w:eastAsia="en-US"/>
        </w:rPr>
      </w:pPr>
    </w:p>
    <w:tbl>
      <w:tblPr>
        <w:tblStyle w:val="GridTable4-Accent31"/>
        <w:tblW w:w="5000" w:type="pct"/>
        <w:tblLayout w:type="fixed"/>
        <w:tblLook w:val="04A0" w:firstRow="1" w:lastRow="0" w:firstColumn="1" w:lastColumn="0" w:noHBand="0" w:noVBand="1"/>
      </w:tblPr>
      <w:tblGrid>
        <w:gridCol w:w="331"/>
        <w:gridCol w:w="1917"/>
        <w:gridCol w:w="1652"/>
        <w:gridCol w:w="8303"/>
        <w:gridCol w:w="2077"/>
        <w:gridCol w:w="1131"/>
      </w:tblGrid>
      <w:tr w:rsidR="00911C73" w:rsidRPr="00990003" w14:paraId="18021D21" w14:textId="77777777" w:rsidTr="001D34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1FB258B7" w14:textId="77777777" w:rsidR="00911C73" w:rsidRPr="00990003" w:rsidRDefault="00911C73" w:rsidP="001D3497">
            <w:pPr>
              <w:numPr>
                <w:ilvl w:val="0"/>
                <w:numId w:val="27"/>
              </w:numPr>
              <w:contextualSpacing/>
              <w:jc w:val="left"/>
              <w:rPr>
                <w:rFonts w:cs="Arial"/>
                <w:sz w:val="20"/>
                <w:szCs w:val="20"/>
              </w:rPr>
            </w:pPr>
            <w:r w:rsidRPr="00990003">
              <w:rPr>
                <w:rFonts w:cs="Arial"/>
                <w:sz w:val="20"/>
                <w:szCs w:val="20"/>
              </w:rPr>
              <w:t xml:space="preserve">Core Training for Students </w:t>
            </w:r>
          </w:p>
        </w:tc>
      </w:tr>
      <w:tr w:rsidR="00911C73" w:rsidRPr="00990003" w14:paraId="6A3A5B32" w14:textId="77777777" w:rsidTr="001D3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 w:type="pct"/>
          </w:tcPr>
          <w:p w14:paraId="24243AC1" w14:textId="77777777" w:rsidR="00911C73" w:rsidRPr="00990003" w:rsidRDefault="00911C73" w:rsidP="001D3497">
            <w:pPr>
              <w:jc w:val="left"/>
              <w:rPr>
                <w:rFonts w:cs="Arial"/>
                <w:sz w:val="20"/>
                <w:szCs w:val="20"/>
              </w:rPr>
            </w:pPr>
          </w:p>
        </w:tc>
        <w:tc>
          <w:tcPr>
            <w:tcW w:w="622" w:type="pct"/>
          </w:tcPr>
          <w:p w14:paraId="1CEEC7B2"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 xml:space="preserve">Courses </w:t>
            </w:r>
          </w:p>
        </w:tc>
        <w:tc>
          <w:tcPr>
            <w:tcW w:w="536" w:type="pct"/>
          </w:tcPr>
          <w:p w14:paraId="0F6FB961"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Participants</w:t>
            </w:r>
          </w:p>
        </w:tc>
        <w:tc>
          <w:tcPr>
            <w:tcW w:w="2694" w:type="pct"/>
          </w:tcPr>
          <w:p w14:paraId="4C277D2D"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 xml:space="preserve">Objectives </w:t>
            </w:r>
          </w:p>
        </w:tc>
        <w:tc>
          <w:tcPr>
            <w:tcW w:w="674" w:type="pct"/>
          </w:tcPr>
          <w:p w14:paraId="21FA175E"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 xml:space="preserve">Facilitation </w:t>
            </w:r>
          </w:p>
        </w:tc>
        <w:tc>
          <w:tcPr>
            <w:tcW w:w="368" w:type="pct"/>
          </w:tcPr>
          <w:p w14:paraId="125F39D5"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 xml:space="preserve">Time </w:t>
            </w:r>
          </w:p>
        </w:tc>
      </w:tr>
      <w:tr w:rsidR="00911C73" w:rsidRPr="00990003" w14:paraId="739A1E29" w14:textId="77777777" w:rsidTr="001D3497">
        <w:tc>
          <w:tcPr>
            <w:cnfStyle w:val="001000000000" w:firstRow="0" w:lastRow="0" w:firstColumn="1" w:lastColumn="0" w:oddVBand="0" w:evenVBand="0" w:oddHBand="0" w:evenHBand="0" w:firstRowFirstColumn="0" w:firstRowLastColumn="0" w:lastRowFirstColumn="0" w:lastRowLastColumn="0"/>
            <w:tcW w:w="107" w:type="pct"/>
          </w:tcPr>
          <w:p w14:paraId="5BC97D8E" w14:textId="77777777" w:rsidR="00911C73" w:rsidRPr="00990003" w:rsidRDefault="00911C73" w:rsidP="001D3497">
            <w:pPr>
              <w:numPr>
                <w:ilvl w:val="0"/>
                <w:numId w:val="25"/>
              </w:numPr>
              <w:contextualSpacing/>
              <w:jc w:val="left"/>
              <w:rPr>
                <w:rFonts w:cs="Arial"/>
                <w:sz w:val="20"/>
                <w:szCs w:val="20"/>
              </w:rPr>
            </w:pPr>
          </w:p>
        </w:tc>
        <w:tc>
          <w:tcPr>
            <w:tcW w:w="622" w:type="pct"/>
          </w:tcPr>
          <w:p w14:paraId="5BE29C1B"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990003">
              <w:rPr>
                <w:rFonts w:cs="Arial"/>
                <w:b/>
                <w:bCs/>
                <w:sz w:val="20"/>
                <w:szCs w:val="20"/>
              </w:rPr>
              <w:t xml:space="preserve">SMV: </w:t>
            </w:r>
            <w:hyperlink r:id="rId39" w:history="1">
              <w:r w:rsidRPr="00990003">
                <w:rPr>
                  <w:rFonts w:cs="Arial"/>
                  <w:b/>
                  <w:bCs/>
                  <w:sz w:val="20"/>
                  <w:szCs w:val="20"/>
                  <w:u w:val="single"/>
                </w:rPr>
                <w:t>Consent Matters: Boundaries, Respect, and Positive Intervention</w:t>
              </w:r>
            </w:hyperlink>
          </w:p>
        </w:tc>
        <w:tc>
          <w:tcPr>
            <w:tcW w:w="536" w:type="pct"/>
          </w:tcPr>
          <w:p w14:paraId="1F8BAAC0"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Compulsory for all new students (UGs &amp; PGs)</w:t>
            </w:r>
          </w:p>
          <w:p w14:paraId="4C2253A7"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5BF00795"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All staff can access.</w:t>
            </w:r>
          </w:p>
        </w:tc>
        <w:tc>
          <w:tcPr>
            <w:tcW w:w="2694" w:type="pct"/>
          </w:tcPr>
          <w:p w14:paraId="225FB7C5"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This course looks at sexual consent, healthy relationships, positive bystander intervention and support available related to sexual misconduct and violence (SMV). </w:t>
            </w:r>
          </w:p>
          <w:p w14:paraId="4D19D5D6"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Raise awareness and knowledge of sexual consent, including exploring common misconceptions about consent</w:t>
            </w:r>
          </w:p>
          <w:p w14:paraId="732D4157"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Build skills for healthy relationships, including communication and boundary setting </w:t>
            </w:r>
          </w:p>
          <w:p w14:paraId="2A309534"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Develop positive interventions to look out for others in difficult situations </w:t>
            </w:r>
          </w:p>
          <w:p w14:paraId="24D8A344"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Build safer communities by encouraging consent culture and positive intervention </w:t>
            </w:r>
          </w:p>
        </w:tc>
        <w:tc>
          <w:tcPr>
            <w:tcW w:w="674" w:type="pct"/>
          </w:tcPr>
          <w:p w14:paraId="25FC2419"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Self-paced 3 module online course available on Oracle Learn</w:t>
            </w:r>
          </w:p>
        </w:tc>
        <w:tc>
          <w:tcPr>
            <w:tcW w:w="368" w:type="pct"/>
          </w:tcPr>
          <w:p w14:paraId="550195FE"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1 hour</w:t>
            </w:r>
          </w:p>
          <w:p w14:paraId="38E412FB"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20B8FBA1"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Pre-arrival/ Induction Week</w:t>
            </w:r>
          </w:p>
        </w:tc>
      </w:tr>
      <w:tr w:rsidR="00911C73" w:rsidRPr="00990003" w14:paraId="40F24871" w14:textId="77777777" w:rsidTr="001D3497">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07" w:type="pct"/>
          </w:tcPr>
          <w:p w14:paraId="7A840074" w14:textId="77777777" w:rsidR="00911C73" w:rsidRPr="00990003" w:rsidRDefault="00911C73" w:rsidP="001D3497">
            <w:pPr>
              <w:numPr>
                <w:ilvl w:val="0"/>
                <w:numId w:val="25"/>
              </w:numPr>
              <w:contextualSpacing/>
              <w:jc w:val="left"/>
              <w:rPr>
                <w:rFonts w:cs="Arial"/>
                <w:sz w:val="20"/>
                <w:szCs w:val="20"/>
              </w:rPr>
            </w:pPr>
          </w:p>
        </w:tc>
        <w:tc>
          <w:tcPr>
            <w:tcW w:w="622" w:type="pct"/>
          </w:tcPr>
          <w:p w14:paraId="35126232"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90003">
              <w:rPr>
                <w:rFonts w:cs="Arial"/>
                <w:b/>
                <w:bCs/>
                <w:sz w:val="20"/>
                <w:szCs w:val="20"/>
              </w:rPr>
              <w:t>SMV Awareness Talks - Core Messages for WOW</w:t>
            </w:r>
          </w:p>
        </w:tc>
        <w:tc>
          <w:tcPr>
            <w:tcW w:w="536" w:type="pct"/>
          </w:tcPr>
          <w:p w14:paraId="1D4DDBFA"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Compulsory for all new students (UGs &amp; PGs)</w:t>
            </w:r>
          </w:p>
          <w:p w14:paraId="4EFCC80E"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694" w:type="pct"/>
          </w:tcPr>
          <w:p w14:paraId="5293B0CE" w14:textId="77777777" w:rsidR="00911C73" w:rsidRPr="00990003" w:rsidRDefault="00911C73" w:rsidP="001D3497">
            <w:pPr>
              <w:numPr>
                <w:ilvl w:val="0"/>
                <w:numId w:val="26"/>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Raise awareness that SMV is not tolerated within the University community per the Sexual Misconduct and Violence Policy </w:t>
            </w:r>
          </w:p>
          <w:p w14:paraId="06F2A203" w14:textId="77777777" w:rsidR="00911C73" w:rsidRPr="00990003" w:rsidRDefault="00911C73" w:rsidP="001D3497">
            <w:pPr>
              <w:numPr>
                <w:ilvl w:val="0"/>
                <w:numId w:val="26"/>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Raise awareness and knowledge of sexual consent</w:t>
            </w:r>
          </w:p>
          <w:p w14:paraId="253DF208" w14:textId="77777777" w:rsidR="00911C73" w:rsidRPr="00990003" w:rsidRDefault="00911C73" w:rsidP="001D3497">
            <w:pPr>
              <w:numPr>
                <w:ilvl w:val="0"/>
                <w:numId w:val="26"/>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Signpost to key areas of support available for all students </w:t>
            </w:r>
          </w:p>
          <w:p w14:paraId="547AE570" w14:textId="77777777" w:rsidR="00911C73" w:rsidRPr="00990003" w:rsidRDefault="00911C73" w:rsidP="001D3497">
            <w:p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74" w:type="pct"/>
          </w:tcPr>
          <w:p w14:paraId="09C0CCF0"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Delivered during induction by College staff and student leaders</w:t>
            </w:r>
          </w:p>
        </w:tc>
        <w:tc>
          <w:tcPr>
            <w:tcW w:w="368" w:type="pct"/>
          </w:tcPr>
          <w:p w14:paraId="4482BF18"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Minimum of 20 min.</w:t>
            </w:r>
          </w:p>
          <w:p w14:paraId="66E9E67D"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p>
          <w:p w14:paraId="363C4365"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911C73" w:rsidRPr="00990003" w14:paraId="35696C6E" w14:textId="77777777" w:rsidTr="001D3497">
        <w:trPr>
          <w:trHeight w:val="3317"/>
        </w:trPr>
        <w:tc>
          <w:tcPr>
            <w:cnfStyle w:val="001000000000" w:firstRow="0" w:lastRow="0" w:firstColumn="1" w:lastColumn="0" w:oddVBand="0" w:evenVBand="0" w:oddHBand="0" w:evenHBand="0" w:firstRowFirstColumn="0" w:firstRowLastColumn="0" w:lastRowFirstColumn="0" w:lastRowLastColumn="0"/>
            <w:tcW w:w="107" w:type="pct"/>
          </w:tcPr>
          <w:p w14:paraId="29D1ED38" w14:textId="77777777" w:rsidR="00911C73" w:rsidRPr="00990003" w:rsidRDefault="00911C73" w:rsidP="001D3497">
            <w:pPr>
              <w:numPr>
                <w:ilvl w:val="0"/>
                <w:numId w:val="25"/>
              </w:numPr>
              <w:contextualSpacing/>
              <w:jc w:val="left"/>
              <w:rPr>
                <w:rFonts w:cs="Arial"/>
                <w:sz w:val="20"/>
                <w:szCs w:val="20"/>
              </w:rPr>
            </w:pPr>
          </w:p>
        </w:tc>
        <w:tc>
          <w:tcPr>
            <w:tcW w:w="622" w:type="pct"/>
          </w:tcPr>
          <w:p w14:paraId="758652D6"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990003">
              <w:rPr>
                <w:rFonts w:cs="Arial"/>
                <w:b/>
                <w:bCs/>
                <w:sz w:val="20"/>
                <w:szCs w:val="20"/>
              </w:rPr>
              <w:t xml:space="preserve">Active Bystander Course Durham </w:t>
            </w:r>
          </w:p>
        </w:tc>
        <w:tc>
          <w:tcPr>
            <w:tcW w:w="536" w:type="pct"/>
          </w:tcPr>
          <w:p w14:paraId="3D24BF3F"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Recommended for all student leaders; </w:t>
            </w:r>
          </w:p>
          <w:p w14:paraId="45C9B61E"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665C7BC1"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050499AC"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Freshers’ Reps (Freps) are required to attend by most Colleges; </w:t>
            </w:r>
          </w:p>
          <w:p w14:paraId="1C8806F2"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297F32E1"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All students welcome</w:t>
            </w:r>
          </w:p>
        </w:tc>
        <w:tc>
          <w:tcPr>
            <w:tcW w:w="2694" w:type="pct"/>
          </w:tcPr>
          <w:p w14:paraId="0FCFA7B9"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To empower and equip students to be Active Bystanders with regards to SMV – specifically on identifying consent, coercion and control. </w:t>
            </w:r>
          </w:p>
          <w:p w14:paraId="2C6230B6"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To </w:t>
            </w:r>
            <w:r w:rsidRPr="00990003">
              <w:rPr>
                <w:rFonts w:cs="Arial"/>
                <w:sz w:val="20"/>
                <w:szCs w:val="20"/>
                <w:u w:val="single"/>
              </w:rPr>
              <w:t>educate</w:t>
            </w:r>
            <w:r w:rsidRPr="00990003">
              <w:rPr>
                <w:rFonts w:cs="Arial"/>
                <w:sz w:val="20"/>
                <w:szCs w:val="20"/>
              </w:rPr>
              <w:t xml:space="preserve"> students with regards to: </w:t>
            </w:r>
          </w:p>
          <w:p w14:paraId="4DF37B0D" w14:textId="77777777" w:rsidR="00911C73" w:rsidRPr="00990003" w:rsidRDefault="00911C73" w:rsidP="001D3497">
            <w:pPr>
              <w:numPr>
                <w:ilvl w:val="1"/>
                <w:numId w:val="26"/>
              </w:numPr>
              <w:ind w:left="770" w:hanging="425"/>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The definition of SMV and prevalence at university </w:t>
            </w:r>
          </w:p>
          <w:p w14:paraId="10C47FC3" w14:textId="77777777" w:rsidR="00911C73" w:rsidRPr="00990003" w:rsidRDefault="00911C73" w:rsidP="001D3497">
            <w:pPr>
              <w:numPr>
                <w:ilvl w:val="1"/>
                <w:numId w:val="26"/>
              </w:numPr>
              <w:ind w:left="770" w:hanging="425"/>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The concept of Bystander Intervention and how it applies to SMV </w:t>
            </w:r>
          </w:p>
          <w:p w14:paraId="5D660DBE"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To help students to </w:t>
            </w:r>
            <w:r w:rsidRPr="00990003">
              <w:rPr>
                <w:rFonts w:cs="Arial"/>
                <w:sz w:val="20"/>
                <w:szCs w:val="20"/>
                <w:u w:val="single"/>
              </w:rPr>
              <w:t xml:space="preserve">empathise </w:t>
            </w:r>
            <w:r w:rsidRPr="00990003">
              <w:rPr>
                <w:rFonts w:cs="Arial"/>
                <w:sz w:val="20"/>
                <w:szCs w:val="20"/>
              </w:rPr>
              <w:t xml:space="preserve">with others with regards to: </w:t>
            </w:r>
          </w:p>
          <w:p w14:paraId="2F2A0AD1" w14:textId="77777777" w:rsidR="00911C73" w:rsidRPr="00990003" w:rsidRDefault="00911C73" w:rsidP="001D3497">
            <w:pPr>
              <w:numPr>
                <w:ilvl w:val="1"/>
                <w:numId w:val="26"/>
              </w:numPr>
              <w:ind w:left="770" w:hanging="425"/>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The impact of SMV on an individual </w:t>
            </w:r>
          </w:p>
          <w:p w14:paraId="7AEDB0C4" w14:textId="77777777" w:rsidR="00911C73" w:rsidRPr="00990003" w:rsidRDefault="00911C73" w:rsidP="001D3497">
            <w:pPr>
              <w:numPr>
                <w:ilvl w:val="1"/>
                <w:numId w:val="26"/>
              </w:numPr>
              <w:ind w:left="770" w:hanging="425"/>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The difficulties faced by an individual when disclosing/reporting SMV</w:t>
            </w:r>
          </w:p>
          <w:p w14:paraId="0BA33BED"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To </w:t>
            </w:r>
            <w:r w:rsidRPr="00990003">
              <w:rPr>
                <w:rFonts w:cs="Arial"/>
                <w:sz w:val="20"/>
                <w:szCs w:val="20"/>
                <w:u w:val="single"/>
              </w:rPr>
              <w:t xml:space="preserve">equip </w:t>
            </w:r>
            <w:r w:rsidRPr="00990003">
              <w:rPr>
                <w:rFonts w:cs="Arial"/>
                <w:sz w:val="20"/>
                <w:szCs w:val="20"/>
              </w:rPr>
              <w:t xml:space="preserve">students to be able to: </w:t>
            </w:r>
          </w:p>
          <w:p w14:paraId="103EBC28" w14:textId="77777777" w:rsidR="00911C73" w:rsidRPr="00990003" w:rsidRDefault="00911C73" w:rsidP="001D3497">
            <w:pPr>
              <w:numPr>
                <w:ilvl w:val="1"/>
                <w:numId w:val="26"/>
              </w:numPr>
              <w:ind w:left="770" w:hanging="425"/>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Identify situations which require appropriate Bystander Intervention </w:t>
            </w:r>
            <w:r w:rsidRPr="00990003">
              <w:rPr>
                <w:rFonts w:cs="Arial"/>
                <w:sz w:val="20"/>
                <w:szCs w:val="20"/>
              </w:rPr>
              <w:tab/>
            </w:r>
          </w:p>
          <w:p w14:paraId="51C501D4" w14:textId="77777777" w:rsidR="00911C73" w:rsidRPr="00990003" w:rsidRDefault="00911C73" w:rsidP="001D3497">
            <w:pPr>
              <w:numPr>
                <w:ilvl w:val="1"/>
                <w:numId w:val="26"/>
              </w:numPr>
              <w:ind w:left="770" w:hanging="425"/>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Intervene appropriately and safely as an Active Bystander  </w:t>
            </w:r>
          </w:p>
          <w:p w14:paraId="0DE3FDCE"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To </w:t>
            </w:r>
            <w:r w:rsidRPr="00990003">
              <w:rPr>
                <w:rFonts w:cs="Arial"/>
                <w:sz w:val="20"/>
                <w:szCs w:val="20"/>
                <w:u w:val="single"/>
              </w:rPr>
              <w:t xml:space="preserve">empower </w:t>
            </w:r>
            <w:r w:rsidRPr="00990003">
              <w:rPr>
                <w:rFonts w:cs="Arial"/>
                <w:sz w:val="20"/>
                <w:szCs w:val="20"/>
              </w:rPr>
              <w:t xml:space="preserve">students by: </w:t>
            </w:r>
          </w:p>
          <w:p w14:paraId="7E8C8EDD" w14:textId="77777777" w:rsidR="00911C73" w:rsidRPr="00990003" w:rsidRDefault="00911C73" w:rsidP="001D3497">
            <w:pPr>
              <w:numPr>
                <w:ilvl w:val="1"/>
                <w:numId w:val="26"/>
              </w:numPr>
              <w:ind w:left="770" w:hanging="425"/>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Encouraging them to think about their role in forming the society that they live in </w:t>
            </w:r>
          </w:p>
          <w:p w14:paraId="7151BBFA" w14:textId="77777777" w:rsidR="00911C73" w:rsidRPr="00990003" w:rsidRDefault="00911C73" w:rsidP="001D3497">
            <w:pPr>
              <w:numPr>
                <w:ilvl w:val="1"/>
                <w:numId w:val="26"/>
              </w:numPr>
              <w:ind w:left="770" w:hanging="425"/>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Guiding students to other resources which can aid future learning</w:t>
            </w:r>
          </w:p>
        </w:tc>
        <w:tc>
          <w:tcPr>
            <w:tcW w:w="674" w:type="pct"/>
          </w:tcPr>
          <w:p w14:paraId="67A56439" w14:textId="40A5365B"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Facilitated in-person/via Zoom by trained paid SU </w:t>
            </w:r>
            <w:r w:rsidR="00A56206">
              <w:rPr>
                <w:rFonts w:cs="Arial"/>
                <w:sz w:val="20"/>
                <w:szCs w:val="20"/>
              </w:rPr>
              <w:t xml:space="preserve">peer </w:t>
            </w:r>
            <w:r w:rsidRPr="00990003">
              <w:rPr>
                <w:rFonts w:cs="Arial"/>
                <w:sz w:val="20"/>
                <w:szCs w:val="20"/>
              </w:rPr>
              <w:t xml:space="preserve">facilitators </w:t>
            </w:r>
          </w:p>
          <w:p w14:paraId="4F02C908"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38E70815"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122DCEBF"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026122F2"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6386622C"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 w:type="pct"/>
          </w:tcPr>
          <w:p w14:paraId="35711E09"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2 hours</w:t>
            </w:r>
          </w:p>
          <w:p w14:paraId="4F9A06E6"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63079845"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Available to book through-out the year through the Students’ Union webpage</w:t>
            </w:r>
          </w:p>
        </w:tc>
      </w:tr>
      <w:tr w:rsidR="00911C73" w:rsidRPr="00990003" w14:paraId="2410A3E5" w14:textId="77777777" w:rsidTr="001D3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5C8D0"/>
          </w:tcPr>
          <w:p w14:paraId="287177E0" w14:textId="77777777" w:rsidR="00911C73" w:rsidRPr="00990003" w:rsidRDefault="00911C73" w:rsidP="001D3497">
            <w:pPr>
              <w:numPr>
                <w:ilvl w:val="0"/>
                <w:numId w:val="27"/>
              </w:numPr>
              <w:contextualSpacing/>
              <w:jc w:val="left"/>
              <w:rPr>
                <w:rFonts w:cs="Arial"/>
                <w:sz w:val="20"/>
                <w:szCs w:val="20"/>
              </w:rPr>
            </w:pPr>
            <w:r w:rsidRPr="00990003">
              <w:rPr>
                <w:rFonts w:cs="Arial"/>
                <w:sz w:val="20"/>
                <w:szCs w:val="20"/>
              </w:rPr>
              <w:t xml:space="preserve">Optional Enhancement Courses </w:t>
            </w:r>
          </w:p>
        </w:tc>
      </w:tr>
      <w:tr w:rsidR="00911C73" w:rsidRPr="00990003" w14:paraId="4B9819B9" w14:textId="77777777" w:rsidTr="001D3497">
        <w:tc>
          <w:tcPr>
            <w:cnfStyle w:val="001000000000" w:firstRow="0" w:lastRow="0" w:firstColumn="1" w:lastColumn="0" w:oddVBand="0" w:evenVBand="0" w:oddHBand="0" w:evenHBand="0" w:firstRowFirstColumn="0" w:firstRowLastColumn="0" w:lastRowFirstColumn="0" w:lastRowLastColumn="0"/>
            <w:tcW w:w="107" w:type="pct"/>
          </w:tcPr>
          <w:p w14:paraId="2D6C41AA" w14:textId="77777777" w:rsidR="00911C73" w:rsidRPr="00990003" w:rsidRDefault="00911C73" w:rsidP="001D3497">
            <w:pPr>
              <w:numPr>
                <w:ilvl w:val="0"/>
                <w:numId w:val="25"/>
              </w:numPr>
              <w:contextualSpacing/>
              <w:jc w:val="left"/>
              <w:rPr>
                <w:rFonts w:cs="Arial"/>
                <w:sz w:val="20"/>
                <w:szCs w:val="20"/>
              </w:rPr>
            </w:pPr>
          </w:p>
        </w:tc>
        <w:tc>
          <w:tcPr>
            <w:tcW w:w="622" w:type="pct"/>
          </w:tcPr>
          <w:p w14:paraId="2D1FD673"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990003">
              <w:rPr>
                <w:rFonts w:cs="Arial"/>
                <w:b/>
                <w:bCs/>
                <w:sz w:val="20"/>
                <w:szCs w:val="20"/>
              </w:rPr>
              <w:t xml:space="preserve">Consent </w:t>
            </w:r>
            <w:r w:rsidRPr="00990003">
              <w:rPr>
                <w:rFonts w:cs="Arial"/>
                <w:b/>
                <w:bCs/>
                <w:sz w:val="20"/>
                <w:szCs w:val="20"/>
              </w:rPr>
              <w:lastRenderedPageBreak/>
              <w:t>Workshop</w:t>
            </w:r>
          </w:p>
        </w:tc>
        <w:tc>
          <w:tcPr>
            <w:tcW w:w="536" w:type="pct"/>
          </w:tcPr>
          <w:p w14:paraId="3972BC64"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lastRenderedPageBreak/>
              <w:t>1</w:t>
            </w:r>
            <w:r w:rsidRPr="00990003">
              <w:rPr>
                <w:rFonts w:cs="Arial"/>
                <w:sz w:val="20"/>
                <w:szCs w:val="20"/>
                <w:vertAlign w:val="superscript"/>
              </w:rPr>
              <w:t>st</w:t>
            </w:r>
            <w:r w:rsidRPr="00990003">
              <w:rPr>
                <w:rFonts w:cs="Arial"/>
                <w:sz w:val="20"/>
                <w:szCs w:val="20"/>
              </w:rPr>
              <w:t xml:space="preserve"> year UGs </w:t>
            </w:r>
          </w:p>
        </w:tc>
        <w:tc>
          <w:tcPr>
            <w:tcW w:w="2694" w:type="pct"/>
          </w:tcPr>
          <w:p w14:paraId="01B20E2A"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Learn about the importance of sexual consent </w:t>
            </w:r>
          </w:p>
          <w:p w14:paraId="26D61FD3"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lastRenderedPageBreak/>
              <w:t>Challenge rape culture and victim-blaming</w:t>
            </w:r>
          </w:p>
          <w:p w14:paraId="7F8FAED4"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Learn how to create a positive consent culture</w:t>
            </w:r>
          </w:p>
          <w:p w14:paraId="4632EF4E" w14:textId="77777777" w:rsidR="00911C73" w:rsidRPr="00990003" w:rsidRDefault="00911C73" w:rsidP="001D3497">
            <w:pPr>
              <w:spacing w:before="120"/>
              <w:jc w:val="left"/>
              <w:cnfStyle w:val="000000000000" w:firstRow="0" w:lastRow="0" w:firstColumn="0" w:lastColumn="0" w:oddVBand="0" w:evenVBand="0" w:oddHBand="0" w:evenHBand="0" w:firstRowFirstColumn="0" w:firstRowLastColumn="0" w:lastRowFirstColumn="0" w:lastRowLastColumn="0"/>
              <w:rPr>
                <w:rFonts w:cs="Arial"/>
                <w:b/>
                <w:sz w:val="20"/>
                <w:szCs w:val="20"/>
              </w:rPr>
            </w:pPr>
            <w:r w:rsidRPr="00990003">
              <w:rPr>
                <w:rFonts w:cs="Arial"/>
                <w:b/>
                <w:sz w:val="20"/>
                <w:szCs w:val="20"/>
              </w:rPr>
              <w:t>Note: This course can be delivered during a consent campaign week or WOW.</w:t>
            </w:r>
          </w:p>
        </w:tc>
        <w:tc>
          <w:tcPr>
            <w:tcW w:w="674" w:type="pct"/>
          </w:tcPr>
          <w:p w14:paraId="2B135994" w14:textId="42FEB8BF"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lastRenderedPageBreak/>
              <w:t>Facilitated in-</w:t>
            </w:r>
            <w:r w:rsidRPr="00990003">
              <w:rPr>
                <w:rFonts w:cs="Arial"/>
                <w:sz w:val="20"/>
                <w:szCs w:val="20"/>
              </w:rPr>
              <w:lastRenderedPageBreak/>
              <w:t xml:space="preserve">person/via Zoom by trained volunteer </w:t>
            </w:r>
            <w:r w:rsidR="00A56206">
              <w:rPr>
                <w:rFonts w:cs="Arial"/>
                <w:sz w:val="20"/>
                <w:szCs w:val="20"/>
              </w:rPr>
              <w:t xml:space="preserve">peer </w:t>
            </w:r>
            <w:r w:rsidRPr="00990003">
              <w:rPr>
                <w:rFonts w:cs="Arial"/>
                <w:sz w:val="20"/>
                <w:szCs w:val="20"/>
              </w:rPr>
              <w:t xml:space="preserve">facilitators </w:t>
            </w:r>
          </w:p>
        </w:tc>
        <w:tc>
          <w:tcPr>
            <w:tcW w:w="368" w:type="pct"/>
          </w:tcPr>
          <w:p w14:paraId="20605F3B"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lastRenderedPageBreak/>
              <w:t>1 hour</w:t>
            </w:r>
          </w:p>
          <w:p w14:paraId="2C321375"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18212BC0"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911C73" w:rsidRPr="00990003" w14:paraId="64E77393" w14:textId="77777777" w:rsidTr="001D3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 w:type="pct"/>
          </w:tcPr>
          <w:p w14:paraId="251FB828" w14:textId="77777777" w:rsidR="00911C73" w:rsidRPr="00990003" w:rsidRDefault="00911C73" w:rsidP="001D3497">
            <w:pPr>
              <w:numPr>
                <w:ilvl w:val="0"/>
                <w:numId w:val="25"/>
              </w:numPr>
              <w:contextualSpacing/>
              <w:jc w:val="left"/>
              <w:rPr>
                <w:rFonts w:cs="Arial"/>
                <w:sz w:val="20"/>
                <w:szCs w:val="20"/>
              </w:rPr>
            </w:pPr>
          </w:p>
        </w:tc>
        <w:tc>
          <w:tcPr>
            <w:tcW w:w="622" w:type="pct"/>
          </w:tcPr>
          <w:p w14:paraId="4CE8AA3A"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90003">
              <w:rPr>
                <w:rFonts w:cs="Arial"/>
                <w:b/>
                <w:bCs/>
                <w:sz w:val="20"/>
                <w:szCs w:val="20"/>
              </w:rPr>
              <w:t>Responding to Disclosures of Sexual Violence as a Student Leader</w:t>
            </w:r>
          </w:p>
        </w:tc>
        <w:tc>
          <w:tcPr>
            <w:tcW w:w="536" w:type="pct"/>
          </w:tcPr>
          <w:p w14:paraId="14D748CB"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Recommended for Student Leaders,  Welfare Reps,</w:t>
            </w:r>
          </w:p>
          <w:p w14:paraId="22103F6E"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All students welcome</w:t>
            </w:r>
          </w:p>
        </w:tc>
        <w:tc>
          <w:tcPr>
            <w:tcW w:w="2694" w:type="pct"/>
          </w:tcPr>
          <w:p w14:paraId="645E34D4" w14:textId="77777777" w:rsidR="00911C73" w:rsidRPr="00990003" w:rsidRDefault="00911C73" w:rsidP="001D3497">
            <w:pPr>
              <w:numPr>
                <w:ilvl w:val="0"/>
                <w:numId w:val="26"/>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Review definitions of consent and SMV </w:t>
            </w:r>
          </w:p>
          <w:p w14:paraId="0D1D8901" w14:textId="77777777" w:rsidR="00911C73" w:rsidRPr="00990003" w:rsidRDefault="00911C73" w:rsidP="001D3497">
            <w:pPr>
              <w:numPr>
                <w:ilvl w:val="0"/>
                <w:numId w:val="26"/>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Develop practical skills to respond appropriately to peer disclosures of SMV </w:t>
            </w:r>
          </w:p>
          <w:p w14:paraId="411D92A0" w14:textId="77777777" w:rsidR="00911C73" w:rsidRPr="00990003" w:rsidRDefault="00911C73" w:rsidP="001D3497">
            <w:pPr>
              <w:numPr>
                <w:ilvl w:val="0"/>
                <w:numId w:val="26"/>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Understand appropriate referral pathways and reporting options to offer to victim-survivors </w:t>
            </w:r>
          </w:p>
          <w:p w14:paraId="268EE4DC" w14:textId="77777777" w:rsidR="00911C73" w:rsidRPr="00990003" w:rsidRDefault="00911C73" w:rsidP="001D3497">
            <w:pPr>
              <w:numPr>
                <w:ilvl w:val="0"/>
                <w:numId w:val="26"/>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Understand the importance of self-care</w:t>
            </w:r>
          </w:p>
          <w:p w14:paraId="52EE9281" w14:textId="77777777" w:rsidR="00911C73" w:rsidRPr="00990003" w:rsidRDefault="00911C73" w:rsidP="001D3497">
            <w:pPr>
              <w:spacing w:before="12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b/>
                <w:sz w:val="20"/>
                <w:szCs w:val="20"/>
              </w:rPr>
              <w:t>Note: A modified version is delivered at every Nightline Training weekend.</w:t>
            </w:r>
          </w:p>
        </w:tc>
        <w:tc>
          <w:tcPr>
            <w:tcW w:w="674" w:type="pct"/>
          </w:tcPr>
          <w:p w14:paraId="25773CC0" w14:textId="55E3C6ED"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Facilitated in person/via Zoom</w:t>
            </w:r>
          </w:p>
        </w:tc>
        <w:tc>
          <w:tcPr>
            <w:tcW w:w="368" w:type="pct"/>
          </w:tcPr>
          <w:p w14:paraId="6A625C14"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90 min.</w:t>
            </w:r>
          </w:p>
          <w:p w14:paraId="5A734C4C"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p>
          <w:p w14:paraId="1442E211"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i/>
                <w:sz w:val="20"/>
                <w:szCs w:val="20"/>
              </w:rPr>
            </w:pPr>
          </w:p>
        </w:tc>
      </w:tr>
      <w:tr w:rsidR="00911C73" w:rsidRPr="00990003" w14:paraId="05C274B0" w14:textId="77777777" w:rsidTr="001D3497">
        <w:tc>
          <w:tcPr>
            <w:cnfStyle w:val="001000000000" w:firstRow="0" w:lastRow="0" w:firstColumn="1" w:lastColumn="0" w:oddVBand="0" w:evenVBand="0" w:oddHBand="0" w:evenHBand="0" w:firstRowFirstColumn="0" w:firstRowLastColumn="0" w:lastRowFirstColumn="0" w:lastRowLastColumn="0"/>
            <w:tcW w:w="107" w:type="pct"/>
          </w:tcPr>
          <w:p w14:paraId="1E49C098" w14:textId="77777777" w:rsidR="00911C73" w:rsidRPr="00990003" w:rsidRDefault="00911C73" w:rsidP="001D3497">
            <w:pPr>
              <w:numPr>
                <w:ilvl w:val="0"/>
                <w:numId w:val="25"/>
              </w:numPr>
              <w:contextualSpacing/>
              <w:jc w:val="left"/>
              <w:rPr>
                <w:rFonts w:cs="Arial"/>
                <w:sz w:val="20"/>
                <w:szCs w:val="20"/>
              </w:rPr>
            </w:pPr>
          </w:p>
        </w:tc>
        <w:tc>
          <w:tcPr>
            <w:tcW w:w="622" w:type="pct"/>
          </w:tcPr>
          <w:p w14:paraId="0E6E5A2B"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990003">
              <w:rPr>
                <w:rFonts w:cs="Arial"/>
                <w:b/>
                <w:bCs/>
                <w:sz w:val="20"/>
                <w:szCs w:val="20"/>
              </w:rPr>
              <w:t>SMV: </w:t>
            </w:r>
            <w:hyperlink r:id="rId40" w:history="1">
              <w:r w:rsidRPr="00990003">
                <w:rPr>
                  <w:rFonts w:cs="Arial"/>
                  <w:b/>
                  <w:bCs/>
                  <w:sz w:val="20"/>
                  <w:szCs w:val="20"/>
                  <w:u w:val="single"/>
                </w:rPr>
                <w:t>Responding to Disclosures of Sexual Violence</w:t>
              </w:r>
            </w:hyperlink>
          </w:p>
        </w:tc>
        <w:tc>
          <w:tcPr>
            <w:tcW w:w="536" w:type="pct"/>
          </w:tcPr>
          <w:p w14:paraId="3A85DA05"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Available for all staff and students</w:t>
            </w:r>
          </w:p>
        </w:tc>
        <w:tc>
          <w:tcPr>
            <w:tcW w:w="2694" w:type="pct"/>
          </w:tcPr>
          <w:p w14:paraId="3C09C6B6"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Demonstrate an awareness of the issues and initiatives around sexual violence.</w:t>
            </w:r>
          </w:p>
          <w:p w14:paraId="5E19063D"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Define what constitutes consent and identify the legal definitions of sexual offences.</w:t>
            </w:r>
          </w:p>
          <w:p w14:paraId="01112F00"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Dispel common myths and misconceptions around sexual violence.</w:t>
            </w:r>
          </w:p>
          <w:p w14:paraId="0B44C881"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React and respond to survivors appropriately, demonstrating empathy and establishing boundaries.</w:t>
            </w:r>
          </w:p>
          <w:p w14:paraId="68CCA480"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Explain the different support and reporting options available to survivors.</w:t>
            </w:r>
          </w:p>
          <w:p w14:paraId="0DCFAB37"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Demonstrate best practices for responding to a disclosure.</w:t>
            </w:r>
          </w:p>
          <w:p w14:paraId="72E81D91"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Recognise when they (the responder) may need support in dealing with a disclosure.</w:t>
            </w:r>
          </w:p>
          <w:p w14:paraId="4DC3338B" w14:textId="77777777" w:rsidR="00911C73" w:rsidRPr="00990003" w:rsidRDefault="00911C73" w:rsidP="001D3497">
            <w:pPr>
              <w:spacing w:before="12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b/>
                <w:sz w:val="20"/>
                <w:szCs w:val="20"/>
              </w:rPr>
              <w:t xml:space="preserve">Note: Not Durham University specific. </w:t>
            </w:r>
          </w:p>
        </w:tc>
        <w:tc>
          <w:tcPr>
            <w:tcW w:w="674" w:type="pct"/>
          </w:tcPr>
          <w:p w14:paraId="549D3CAD"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Self-paced online module on Oracle Learn</w:t>
            </w:r>
          </w:p>
        </w:tc>
        <w:tc>
          <w:tcPr>
            <w:tcW w:w="368" w:type="pct"/>
          </w:tcPr>
          <w:p w14:paraId="2F2DA93E"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1 hour</w:t>
            </w:r>
          </w:p>
        </w:tc>
      </w:tr>
      <w:tr w:rsidR="00911C73" w:rsidRPr="00990003" w14:paraId="6474E612" w14:textId="77777777" w:rsidTr="001D3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5C8D0"/>
          </w:tcPr>
          <w:p w14:paraId="10032A27" w14:textId="77777777" w:rsidR="00911C73" w:rsidRPr="00990003" w:rsidRDefault="00911C73" w:rsidP="001D3497">
            <w:pPr>
              <w:numPr>
                <w:ilvl w:val="0"/>
                <w:numId w:val="27"/>
              </w:numPr>
              <w:contextualSpacing/>
              <w:jc w:val="left"/>
              <w:rPr>
                <w:rFonts w:cs="Arial"/>
                <w:sz w:val="20"/>
                <w:szCs w:val="20"/>
              </w:rPr>
            </w:pPr>
            <w:r w:rsidRPr="00990003">
              <w:rPr>
                <w:rFonts w:cs="Arial"/>
                <w:sz w:val="20"/>
                <w:szCs w:val="20"/>
              </w:rPr>
              <w:t xml:space="preserve">Other  </w:t>
            </w:r>
          </w:p>
        </w:tc>
      </w:tr>
      <w:tr w:rsidR="00911C73" w:rsidRPr="00990003" w14:paraId="77B19669" w14:textId="77777777" w:rsidTr="001D3497">
        <w:tc>
          <w:tcPr>
            <w:cnfStyle w:val="001000000000" w:firstRow="0" w:lastRow="0" w:firstColumn="1" w:lastColumn="0" w:oddVBand="0" w:evenVBand="0" w:oddHBand="0" w:evenHBand="0" w:firstRowFirstColumn="0" w:firstRowLastColumn="0" w:lastRowFirstColumn="0" w:lastRowLastColumn="0"/>
            <w:tcW w:w="107" w:type="pct"/>
          </w:tcPr>
          <w:p w14:paraId="73AB1A73" w14:textId="77777777" w:rsidR="00911C73" w:rsidRPr="00990003" w:rsidRDefault="00911C73" w:rsidP="001D3497">
            <w:pPr>
              <w:numPr>
                <w:ilvl w:val="0"/>
                <w:numId w:val="25"/>
              </w:numPr>
              <w:contextualSpacing/>
              <w:jc w:val="left"/>
              <w:rPr>
                <w:rFonts w:cs="Arial"/>
                <w:sz w:val="20"/>
                <w:szCs w:val="20"/>
              </w:rPr>
            </w:pPr>
          </w:p>
        </w:tc>
        <w:tc>
          <w:tcPr>
            <w:tcW w:w="622" w:type="pct"/>
          </w:tcPr>
          <w:p w14:paraId="0622ACC9"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990003">
              <w:rPr>
                <w:rFonts w:cs="Arial"/>
                <w:b/>
                <w:bCs/>
                <w:sz w:val="20"/>
                <w:szCs w:val="20"/>
              </w:rPr>
              <w:t xml:space="preserve">Consent Workshop Train the Trainer </w:t>
            </w:r>
          </w:p>
        </w:tc>
        <w:tc>
          <w:tcPr>
            <w:tcW w:w="536" w:type="pct"/>
          </w:tcPr>
          <w:p w14:paraId="7B4B49FF"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Volunteer facilitators </w:t>
            </w:r>
          </w:p>
        </w:tc>
        <w:tc>
          <w:tcPr>
            <w:tcW w:w="2694" w:type="pct"/>
          </w:tcPr>
          <w:p w14:paraId="1262B792"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Train volunteer peer facilitators to facilitate engaging and informative discussions that encourage a healthy view of sexual consent and challenge harmful misconceptions.</w:t>
            </w:r>
          </w:p>
          <w:p w14:paraId="7029204C" w14:textId="77777777" w:rsidR="00911C73" w:rsidRPr="00990003" w:rsidRDefault="00911C73" w:rsidP="001D3497">
            <w:pPr>
              <w:spacing w:before="12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b/>
                <w:sz w:val="20"/>
                <w:szCs w:val="20"/>
              </w:rPr>
              <w:t xml:space="preserve">Note: Participants are encouraged to attend the </w:t>
            </w:r>
            <w:r w:rsidRPr="00990003">
              <w:rPr>
                <w:rFonts w:cs="Arial"/>
                <w:b/>
                <w:i/>
                <w:sz w:val="20"/>
                <w:szCs w:val="20"/>
              </w:rPr>
              <w:t>Active Bystander Course Durham</w:t>
            </w:r>
            <w:r w:rsidRPr="00990003">
              <w:rPr>
                <w:rFonts w:cs="Arial"/>
                <w:b/>
                <w:sz w:val="20"/>
                <w:szCs w:val="20"/>
              </w:rPr>
              <w:t xml:space="preserve"> and the </w:t>
            </w:r>
            <w:r w:rsidRPr="00990003">
              <w:rPr>
                <w:rFonts w:cs="Arial"/>
                <w:b/>
                <w:i/>
                <w:sz w:val="20"/>
                <w:szCs w:val="20"/>
              </w:rPr>
              <w:t>Responding to Disclosures of Sexual Violence as a Student Leader</w:t>
            </w:r>
            <w:r w:rsidRPr="00990003">
              <w:rPr>
                <w:rFonts w:cs="Arial"/>
                <w:b/>
                <w:sz w:val="20"/>
                <w:szCs w:val="20"/>
              </w:rPr>
              <w:t xml:space="preserve"> courses.</w:t>
            </w:r>
          </w:p>
        </w:tc>
        <w:tc>
          <w:tcPr>
            <w:tcW w:w="674" w:type="pct"/>
          </w:tcPr>
          <w:p w14:paraId="74C8EFA7" w14:textId="35493E32"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Facilitated in person or via Zoom </w:t>
            </w:r>
          </w:p>
        </w:tc>
        <w:tc>
          <w:tcPr>
            <w:tcW w:w="368" w:type="pct"/>
          </w:tcPr>
          <w:p w14:paraId="5B9ED72C"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3 hours minimum </w:t>
            </w:r>
          </w:p>
        </w:tc>
      </w:tr>
      <w:tr w:rsidR="00911C73" w:rsidRPr="00990003" w14:paraId="797CBDDB" w14:textId="77777777" w:rsidTr="001D3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 w:type="pct"/>
          </w:tcPr>
          <w:p w14:paraId="72E43BC5" w14:textId="77777777" w:rsidR="00911C73" w:rsidRPr="00990003" w:rsidRDefault="00911C73" w:rsidP="001D3497">
            <w:pPr>
              <w:numPr>
                <w:ilvl w:val="0"/>
                <w:numId w:val="25"/>
              </w:numPr>
              <w:contextualSpacing/>
              <w:jc w:val="left"/>
              <w:rPr>
                <w:rFonts w:cs="Arial"/>
                <w:sz w:val="20"/>
                <w:szCs w:val="20"/>
              </w:rPr>
            </w:pPr>
          </w:p>
        </w:tc>
        <w:tc>
          <w:tcPr>
            <w:tcW w:w="622" w:type="pct"/>
          </w:tcPr>
          <w:p w14:paraId="38D5D7B3"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90003">
              <w:rPr>
                <w:rFonts w:cs="Arial"/>
                <w:b/>
                <w:bCs/>
                <w:sz w:val="20"/>
                <w:szCs w:val="20"/>
              </w:rPr>
              <w:t>Active Bystander Train the Trainer</w:t>
            </w:r>
          </w:p>
        </w:tc>
        <w:tc>
          <w:tcPr>
            <w:tcW w:w="536" w:type="pct"/>
          </w:tcPr>
          <w:p w14:paraId="7EC0AD7D"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Recruited Facilitators </w:t>
            </w:r>
          </w:p>
        </w:tc>
        <w:tc>
          <w:tcPr>
            <w:tcW w:w="2694" w:type="pct"/>
          </w:tcPr>
          <w:p w14:paraId="40CC8ED8" w14:textId="77777777" w:rsidR="00911C73" w:rsidRPr="00990003" w:rsidRDefault="00911C73" w:rsidP="001D3497">
            <w:pPr>
              <w:numPr>
                <w:ilvl w:val="0"/>
                <w:numId w:val="26"/>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Train recruited peer facilitators to facilitate engaging and informative discussions that empower and equip students to be Active Bystanders with regards to SMV – specifically on identifying consent, coercion and control.</w:t>
            </w:r>
          </w:p>
          <w:p w14:paraId="0290C6D2" w14:textId="77777777" w:rsidR="00911C73" w:rsidRPr="00990003" w:rsidRDefault="00911C73" w:rsidP="001D3497">
            <w:pPr>
              <w:spacing w:before="12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b/>
                <w:sz w:val="20"/>
                <w:szCs w:val="20"/>
              </w:rPr>
              <w:t xml:space="preserve">Note: Participants are encouraged to attend the </w:t>
            </w:r>
            <w:r w:rsidRPr="00990003">
              <w:rPr>
                <w:rFonts w:cs="Arial"/>
                <w:b/>
                <w:i/>
                <w:sz w:val="20"/>
                <w:szCs w:val="20"/>
              </w:rPr>
              <w:t>Responding to Disclosures of Sexual Violence as a Student Leader</w:t>
            </w:r>
            <w:r w:rsidRPr="00990003">
              <w:rPr>
                <w:rFonts w:cs="Arial"/>
                <w:b/>
                <w:sz w:val="20"/>
                <w:szCs w:val="20"/>
              </w:rPr>
              <w:t xml:space="preserve"> course.</w:t>
            </w:r>
          </w:p>
        </w:tc>
        <w:tc>
          <w:tcPr>
            <w:tcW w:w="674" w:type="pct"/>
          </w:tcPr>
          <w:p w14:paraId="07280B4F" w14:textId="7AA55F62"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Facilitated in person or via Zoom </w:t>
            </w:r>
          </w:p>
        </w:tc>
        <w:tc>
          <w:tcPr>
            <w:tcW w:w="368" w:type="pct"/>
          </w:tcPr>
          <w:p w14:paraId="26467ED7"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Full Day Course</w:t>
            </w:r>
          </w:p>
        </w:tc>
      </w:tr>
      <w:tr w:rsidR="00911C73" w:rsidRPr="00990003" w14:paraId="5F8F26F2" w14:textId="77777777" w:rsidTr="001D3497">
        <w:tc>
          <w:tcPr>
            <w:cnfStyle w:val="001000000000" w:firstRow="0" w:lastRow="0" w:firstColumn="1" w:lastColumn="0" w:oddVBand="0" w:evenVBand="0" w:oddHBand="0" w:evenHBand="0" w:firstRowFirstColumn="0" w:firstRowLastColumn="0" w:lastRowFirstColumn="0" w:lastRowLastColumn="0"/>
            <w:tcW w:w="107" w:type="pct"/>
          </w:tcPr>
          <w:p w14:paraId="418C819E" w14:textId="77777777" w:rsidR="00911C73" w:rsidRPr="00990003" w:rsidRDefault="00911C73" w:rsidP="001D3497">
            <w:pPr>
              <w:numPr>
                <w:ilvl w:val="0"/>
                <w:numId w:val="25"/>
              </w:numPr>
              <w:contextualSpacing/>
              <w:jc w:val="left"/>
              <w:rPr>
                <w:rFonts w:cs="Arial"/>
                <w:sz w:val="20"/>
                <w:szCs w:val="20"/>
              </w:rPr>
            </w:pPr>
          </w:p>
        </w:tc>
        <w:tc>
          <w:tcPr>
            <w:tcW w:w="622" w:type="pct"/>
          </w:tcPr>
          <w:p w14:paraId="465560CA"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990003">
              <w:rPr>
                <w:rFonts w:cs="Arial"/>
                <w:b/>
                <w:bCs/>
                <w:sz w:val="20"/>
                <w:szCs w:val="20"/>
              </w:rPr>
              <w:t>Bespoke training available upon request</w:t>
            </w:r>
          </w:p>
        </w:tc>
        <w:tc>
          <w:tcPr>
            <w:tcW w:w="536" w:type="pct"/>
          </w:tcPr>
          <w:p w14:paraId="546F0FC8"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By Request </w:t>
            </w:r>
          </w:p>
        </w:tc>
        <w:tc>
          <w:tcPr>
            <w:tcW w:w="2694" w:type="pct"/>
          </w:tcPr>
          <w:p w14:paraId="43BD42CC" w14:textId="77777777" w:rsidR="00911C73" w:rsidRPr="00990003" w:rsidRDefault="00911C73" w:rsidP="001D3497">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Examples of bespoke training include campaign support, domestic abuse awareness training, training for sports teams, discussion group facilitation, e.g. The Hunting Ground / Know her Name.</w:t>
            </w:r>
          </w:p>
          <w:p w14:paraId="4EB86F77" w14:textId="77777777" w:rsidR="00911C73" w:rsidRPr="00990003" w:rsidRDefault="00911C73" w:rsidP="001D3497">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1498FC87" w14:textId="77777777" w:rsidR="00911C73" w:rsidRPr="00990003" w:rsidRDefault="00911C73" w:rsidP="001D3497">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Options for training courses delivered by external training providers are also available.  </w:t>
            </w:r>
          </w:p>
        </w:tc>
        <w:tc>
          <w:tcPr>
            <w:tcW w:w="674" w:type="pct"/>
          </w:tcPr>
          <w:p w14:paraId="4C1C87C8" w14:textId="46104EA1"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Facilitated in-person or via Zoom </w:t>
            </w:r>
          </w:p>
        </w:tc>
        <w:tc>
          <w:tcPr>
            <w:tcW w:w="368" w:type="pct"/>
          </w:tcPr>
          <w:p w14:paraId="7D91DB18"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TBD</w:t>
            </w:r>
          </w:p>
        </w:tc>
      </w:tr>
    </w:tbl>
    <w:tbl>
      <w:tblPr>
        <w:tblStyle w:val="GridTable4-Accent33"/>
        <w:tblpPr w:leftFromText="180" w:rightFromText="180" w:vertAnchor="text" w:horzAnchor="margin" w:tblpXSpec="right" w:tblpY="88"/>
        <w:tblW w:w="0" w:type="auto"/>
        <w:shd w:val="clear" w:color="auto" w:fill="54145A"/>
        <w:tblLook w:val="0420" w:firstRow="1" w:lastRow="0" w:firstColumn="0" w:lastColumn="0" w:noHBand="0" w:noVBand="1"/>
      </w:tblPr>
      <w:tblGrid>
        <w:gridCol w:w="15381"/>
      </w:tblGrid>
      <w:tr w:rsidR="00911C73" w:rsidRPr="00990003" w14:paraId="593A8055" w14:textId="77777777" w:rsidTr="001D3497">
        <w:trPr>
          <w:cnfStyle w:val="100000000000" w:firstRow="1" w:lastRow="0" w:firstColumn="0" w:lastColumn="0" w:oddVBand="0" w:evenVBand="0" w:oddHBand="0" w:evenHBand="0" w:firstRowFirstColumn="0" w:firstRowLastColumn="0" w:lastRowFirstColumn="0" w:lastRowLastColumn="0"/>
          <w:trHeight w:val="277"/>
        </w:trPr>
        <w:tc>
          <w:tcPr>
            <w:tcW w:w="15381" w:type="dxa"/>
            <w:shd w:val="clear" w:color="auto" w:fill="54145A"/>
          </w:tcPr>
          <w:p w14:paraId="11D5FC3E" w14:textId="77777777" w:rsidR="00911C73" w:rsidRPr="00990003" w:rsidRDefault="00911C73" w:rsidP="001D3497">
            <w:pPr>
              <w:spacing w:before="60" w:after="60"/>
              <w:ind w:right="-130"/>
              <w:jc w:val="left"/>
              <w:rPr>
                <w:rFonts w:cs="Arial"/>
                <w:spacing w:val="-1"/>
                <w:sz w:val="20"/>
                <w:szCs w:val="20"/>
              </w:rPr>
            </w:pPr>
            <w:r w:rsidRPr="00990003">
              <w:rPr>
                <w:rFonts w:cs="Arial"/>
                <w:spacing w:val="-1"/>
                <w:sz w:val="20"/>
                <w:szCs w:val="20"/>
              </w:rPr>
              <w:t>For More Information or to Book a Course</w:t>
            </w:r>
          </w:p>
        </w:tc>
      </w:tr>
      <w:tr w:rsidR="00911C73" w:rsidRPr="00990003" w14:paraId="6F987219" w14:textId="77777777" w:rsidTr="001D3497">
        <w:trPr>
          <w:cnfStyle w:val="000000100000" w:firstRow="0" w:lastRow="0" w:firstColumn="0" w:lastColumn="0" w:oddVBand="0" w:evenVBand="0" w:oddHBand="1" w:evenHBand="0" w:firstRowFirstColumn="0" w:firstRowLastColumn="0" w:lastRowFirstColumn="0" w:lastRowLastColumn="0"/>
        </w:trPr>
        <w:tc>
          <w:tcPr>
            <w:tcW w:w="15381" w:type="dxa"/>
            <w:shd w:val="clear" w:color="auto" w:fill="CBA8B1"/>
          </w:tcPr>
          <w:p w14:paraId="345A245B" w14:textId="77777777" w:rsidR="00911C73" w:rsidRPr="00990003" w:rsidRDefault="00911C73" w:rsidP="001D3497">
            <w:pPr>
              <w:spacing w:before="60" w:after="60"/>
              <w:ind w:right="-130"/>
              <w:jc w:val="left"/>
              <w:rPr>
                <w:rFonts w:cs="Arial"/>
                <w:spacing w:val="-1"/>
                <w:sz w:val="20"/>
                <w:szCs w:val="20"/>
              </w:rPr>
            </w:pPr>
            <w:r w:rsidRPr="00990003">
              <w:rPr>
                <w:rFonts w:cs="Arial"/>
                <w:spacing w:val="-1"/>
                <w:sz w:val="20"/>
                <w:szCs w:val="20"/>
              </w:rPr>
              <w:t>SMV training can be booked via Oracle Learn. Log on, click on ‘Learning’ and then search ‘SMV’ in the search box to find enrol on a course.</w:t>
            </w:r>
          </w:p>
          <w:p w14:paraId="01318AFC" w14:textId="6050E1D6" w:rsidR="00911C73" w:rsidRPr="00990003" w:rsidRDefault="00911C73" w:rsidP="001D3497">
            <w:pPr>
              <w:spacing w:before="60" w:after="60"/>
              <w:ind w:right="-130"/>
              <w:jc w:val="left"/>
              <w:rPr>
                <w:rFonts w:cs="Arial"/>
                <w:spacing w:val="-1"/>
                <w:sz w:val="20"/>
                <w:szCs w:val="20"/>
              </w:rPr>
            </w:pPr>
            <w:r w:rsidRPr="00990003">
              <w:rPr>
                <w:rFonts w:cs="Arial"/>
                <w:spacing w:val="-1"/>
                <w:sz w:val="20"/>
                <w:szCs w:val="20"/>
              </w:rPr>
              <w:t xml:space="preserve">Any questions? Please contact </w:t>
            </w:r>
            <w:r w:rsidR="00A56206">
              <w:rPr>
                <w:rFonts w:cs="Arial"/>
                <w:spacing w:val="-1"/>
                <w:sz w:val="20"/>
                <w:szCs w:val="20"/>
              </w:rPr>
              <w:t xml:space="preserve">the Student Conduct Office at </w:t>
            </w:r>
            <w:hyperlink r:id="rId41" w:history="1">
              <w:r w:rsidR="00A56206" w:rsidRPr="00A56206">
                <w:rPr>
                  <w:rStyle w:val="Hyperlink"/>
                  <w:rFonts w:cs="Arial"/>
                  <w:color w:val="auto"/>
                  <w:spacing w:val="-1"/>
                  <w:sz w:val="20"/>
                  <w:szCs w:val="20"/>
                </w:rPr>
                <w:t>student.cases@durham.ac.uk</w:t>
              </w:r>
            </w:hyperlink>
            <w:r w:rsidR="00A56206" w:rsidRPr="00A56206">
              <w:rPr>
                <w:rFonts w:cs="Arial"/>
                <w:spacing w:val="-1"/>
                <w:sz w:val="20"/>
                <w:szCs w:val="20"/>
              </w:rPr>
              <w:t xml:space="preserve">. </w:t>
            </w:r>
          </w:p>
          <w:p w14:paraId="64AD8371" w14:textId="2814AA32" w:rsidR="00911C73" w:rsidRPr="00990003" w:rsidRDefault="00911C73" w:rsidP="001D3497">
            <w:pPr>
              <w:spacing w:before="60" w:after="60"/>
              <w:ind w:right="-130"/>
              <w:jc w:val="left"/>
              <w:rPr>
                <w:rFonts w:cs="Arial"/>
                <w:color w:val="002A41"/>
                <w:spacing w:val="-1"/>
                <w:sz w:val="20"/>
                <w:szCs w:val="20"/>
              </w:rPr>
            </w:pPr>
            <w:r w:rsidRPr="00990003">
              <w:rPr>
                <w:rFonts w:cs="Arial"/>
                <w:spacing w:val="-1"/>
                <w:sz w:val="20"/>
                <w:szCs w:val="20"/>
              </w:rPr>
              <w:t xml:space="preserve">To book the </w:t>
            </w:r>
            <w:r w:rsidRPr="00990003">
              <w:rPr>
                <w:rFonts w:cs="Arial"/>
                <w:i/>
                <w:spacing w:val="-1"/>
                <w:sz w:val="20"/>
                <w:szCs w:val="20"/>
              </w:rPr>
              <w:t>Active Bystander Course Durham</w:t>
            </w:r>
            <w:r w:rsidRPr="00990003">
              <w:rPr>
                <w:rFonts w:cs="Arial"/>
                <w:spacing w:val="-1"/>
                <w:sz w:val="20"/>
                <w:szCs w:val="20"/>
              </w:rPr>
              <w:t xml:space="preserve">, please book on to a session available here: </w:t>
            </w:r>
            <w:r w:rsidRPr="00990003">
              <w:rPr>
                <w:rFonts w:cs="Arial"/>
                <w:szCs w:val="22"/>
              </w:rPr>
              <w:t xml:space="preserve"> </w:t>
            </w:r>
            <w:hyperlink r:id="rId42" w:history="1">
              <w:r w:rsidRPr="00990003">
                <w:rPr>
                  <w:rFonts w:cs="Arial"/>
                  <w:spacing w:val="-1"/>
                  <w:sz w:val="20"/>
                  <w:szCs w:val="20"/>
                  <w:u w:val="single"/>
                </w:rPr>
                <w:t>https://www.durhamsu.com/events</w:t>
              </w:r>
            </w:hyperlink>
            <w:r w:rsidRPr="00990003">
              <w:rPr>
                <w:rFonts w:cs="Arial"/>
                <w:spacing w:val="-1"/>
                <w:sz w:val="20"/>
                <w:szCs w:val="20"/>
              </w:rPr>
              <w:t xml:space="preserve">  or contact the Students’ Union </w:t>
            </w:r>
            <w:r w:rsidR="00A56206">
              <w:rPr>
                <w:rFonts w:cs="Arial"/>
                <w:spacing w:val="-1"/>
                <w:sz w:val="20"/>
                <w:szCs w:val="20"/>
              </w:rPr>
              <w:t xml:space="preserve">directly. </w:t>
            </w:r>
          </w:p>
        </w:tc>
      </w:tr>
    </w:tbl>
    <w:p w14:paraId="465E0B8A" w14:textId="3E25E5E1" w:rsidR="00911C73" w:rsidRPr="00990003" w:rsidRDefault="00911C73" w:rsidP="00911C73">
      <w:pPr>
        <w:pStyle w:val="NumberedHeading"/>
        <w:numPr>
          <w:ilvl w:val="0"/>
          <w:numId w:val="0"/>
        </w:numPr>
      </w:pPr>
      <w:r w:rsidRPr="00990003">
        <w:rPr>
          <w:rFonts w:ascii="Gotham" w:hAnsi="Gotham" w:cs="Calibri"/>
          <w:noProof/>
          <w:color w:val="002A41"/>
          <w:spacing w:val="-10"/>
          <w:kern w:val="28"/>
          <w:sz w:val="56"/>
          <w:szCs w:val="56"/>
        </w:rPr>
        <w:lastRenderedPageBreak/>
        <w:drawing>
          <wp:anchor distT="0" distB="0" distL="114300" distR="114300" simplePos="0" relativeHeight="251662336" behindDoc="1" locked="0" layoutInCell="1" allowOverlap="1" wp14:anchorId="2FADE70C" wp14:editId="3D858F7A">
            <wp:simplePos x="0" y="0"/>
            <wp:positionH relativeFrom="column">
              <wp:posOffset>6350</wp:posOffset>
            </wp:positionH>
            <wp:positionV relativeFrom="paragraph">
              <wp:posOffset>-70485</wp:posOffset>
            </wp:positionV>
            <wp:extent cx="3295650" cy="10985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s banner resiz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295650" cy="1098550"/>
                    </a:xfrm>
                    <a:prstGeom prst="rect">
                      <a:avLst/>
                    </a:prstGeom>
                  </pic:spPr>
                </pic:pic>
              </a:graphicData>
            </a:graphic>
            <wp14:sizeRelH relativeFrom="page">
              <wp14:pctWidth>0</wp14:pctWidth>
            </wp14:sizeRelH>
            <wp14:sizeRelV relativeFrom="page">
              <wp14:pctHeight>0</wp14:pctHeight>
            </wp14:sizeRelV>
          </wp:anchor>
        </w:drawing>
      </w:r>
      <w:r w:rsidRPr="00990003">
        <w:t xml:space="preserve">APPENDIX </w:t>
      </w:r>
      <w:r w:rsidR="00C11CA5">
        <w:t>D</w:t>
      </w:r>
    </w:p>
    <w:p w14:paraId="20ED7AB0" w14:textId="77777777" w:rsidR="00911C73" w:rsidRPr="00990003" w:rsidRDefault="00911C73" w:rsidP="00911C73">
      <w:pPr>
        <w:widowControl w:val="0"/>
        <w:ind w:left="5040" w:firstLine="720"/>
        <w:contextualSpacing/>
        <w:jc w:val="left"/>
        <w:rPr>
          <w:rFonts w:ascii="Gotham" w:eastAsia="Calibri" w:hAnsi="Gotham" w:cs="Calibri"/>
          <w:color w:val="002A41"/>
          <w:spacing w:val="-10"/>
          <w:kern w:val="28"/>
          <w:sz w:val="56"/>
          <w:szCs w:val="56"/>
          <w:lang w:val="en-US" w:eastAsia="en-US"/>
        </w:rPr>
      </w:pPr>
      <w:r w:rsidRPr="00990003">
        <w:rPr>
          <w:rFonts w:ascii="Gotham" w:hAnsi="Gotham" w:cs="Calibri"/>
          <w:noProof/>
          <w:color w:val="002A41"/>
          <w:spacing w:val="-10"/>
          <w:kern w:val="28"/>
          <w:sz w:val="56"/>
          <w:szCs w:val="56"/>
        </w:rPr>
        <w:drawing>
          <wp:anchor distT="0" distB="0" distL="114300" distR="114300" simplePos="0" relativeHeight="251663360" behindDoc="1" locked="0" layoutInCell="1" allowOverlap="1" wp14:anchorId="47DE062C" wp14:editId="2B9FB16F">
            <wp:simplePos x="0" y="0"/>
            <wp:positionH relativeFrom="column">
              <wp:posOffset>8449310</wp:posOffset>
            </wp:positionH>
            <wp:positionV relativeFrom="paragraph">
              <wp:posOffset>-53340</wp:posOffset>
            </wp:positionV>
            <wp:extent cx="1312678" cy="774000"/>
            <wp:effectExtent l="0" t="0" r="190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920DurhamUniversityMasterLogo_RGB.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312678" cy="774000"/>
                    </a:xfrm>
                    <a:prstGeom prst="rect">
                      <a:avLst/>
                    </a:prstGeom>
                  </pic:spPr>
                </pic:pic>
              </a:graphicData>
            </a:graphic>
            <wp14:sizeRelH relativeFrom="page">
              <wp14:pctWidth>0</wp14:pctWidth>
            </wp14:sizeRelH>
            <wp14:sizeRelV relativeFrom="page">
              <wp14:pctHeight>0</wp14:pctHeight>
            </wp14:sizeRelV>
          </wp:anchor>
        </w:drawing>
      </w:r>
      <w:r w:rsidRPr="00990003">
        <w:rPr>
          <w:rFonts w:ascii="Gotham" w:hAnsi="Gotham" w:cs="Calibri"/>
          <w:color w:val="002A41"/>
          <w:spacing w:val="-10"/>
          <w:kern w:val="28"/>
          <w:sz w:val="56"/>
          <w:szCs w:val="56"/>
          <w:lang w:val="en-US" w:eastAsia="en-US"/>
        </w:rPr>
        <w:t xml:space="preserve">STAFF TRAINING </w:t>
      </w:r>
    </w:p>
    <w:p w14:paraId="51886556" w14:textId="72148280" w:rsidR="00911C73" w:rsidRPr="00990003" w:rsidRDefault="00A56206" w:rsidP="00911C73">
      <w:pPr>
        <w:keepNext/>
        <w:keepLines/>
        <w:widowControl w:val="0"/>
        <w:spacing w:before="40" w:after="240"/>
        <w:ind w:left="5040" w:firstLine="720"/>
        <w:jc w:val="left"/>
        <w:outlineLvl w:val="1"/>
        <w:rPr>
          <w:rFonts w:ascii="Gotham" w:hAnsi="Gotham" w:cs="Calibri"/>
          <w:b/>
          <w:color w:val="002A41"/>
          <w:sz w:val="26"/>
          <w:szCs w:val="26"/>
          <w:lang w:val="en-US" w:eastAsia="en-US"/>
        </w:rPr>
      </w:pPr>
      <w:r>
        <w:rPr>
          <w:rFonts w:ascii="Gotham" w:hAnsi="Gotham" w:cs="Calibri"/>
          <w:color w:val="002A41"/>
          <w:sz w:val="26"/>
          <w:szCs w:val="26"/>
          <w:lang w:val="en-US" w:eastAsia="en-US"/>
        </w:rPr>
        <w:t>2023/24</w:t>
      </w:r>
      <w:r w:rsidR="00911C73" w:rsidRPr="00990003">
        <w:rPr>
          <w:rFonts w:ascii="Gotham" w:hAnsi="Gotham" w:cs="Calibri"/>
          <w:color w:val="002A41"/>
          <w:sz w:val="26"/>
          <w:szCs w:val="26"/>
          <w:lang w:val="en-US" w:eastAsia="en-US"/>
        </w:rPr>
        <w:t xml:space="preserve"> Academic Year</w:t>
      </w:r>
    </w:p>
    <w:tbl>
      <w:tblPr>
        <w:tblStyle w:val="GridTable4-Accent61"/>
        <w:tblW w:w="5006" w:type="pct"/>
        <w:tblLook w:val="04A0" w:firstRow="1" w:lastRow="0" w:firstColumn="1" w:lastColumn="0" w:noHBand="0" w:noVBand="1"/>
      </w:tblPr>
      <w:tblGrid>
        <w:gridCol w:w="307"/>
        <w:gridCol w:w="1928"/>
        <w:gridCol w:w="1603"/>
        <w:gridCol w:w="8821"/>
        <w:gridCol w:w="1764"/>
        <w:gridCol w:w="1006"/>
      </w:tblGrid>
      <w:tr w:rsidR="00911C73" w:rsidRPr="00990003" w14:paraId="5A9B0535" w14:textId="77777777" w:rsidTr="001D34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BEA75D"/>
          </w:tcPr>
          <w:p w14:paraId="78A4854E" w14:textId="77777777" w:rsidR="00911C73" w:rsidRPr="00990003" w:rsidRDefault="00911C73" w:rsidP="001D3497">
            <w:pPr>
              <w:numPr>
                <w:ilvl w:val="0"/>
                <w:numId w:val="29"/>
              </w:numPr>
              <w:contextualSpacing/>
              <w:jc w:val="left"/>
              <w:rPr>
                <w:rFonts w:cs="Arial"/>
                <w:color w:val="FFFFFF" w:themeColor="background1"/>
                <w:sz w:val="20"/>
                <w:szCs w:val="20"/>
              </w:rPr>
            </w:pPr>
            <w:r w:rsidRPr="00990003">
              <w:rPr>
                <w:rFonts w:cs="Arial"/>
                <w:color w:val="auto"/>
                <w:sz w:val="18"/>
                <w:szCs w:val="18"/>
              </w:rPr>
              <w:t>DURHAM SPECIFIC INSTRUCTOR LED TRAINING</w:t>
            </w:r>
          </w:p>
        </w:tc>
      </w:tr>
      <w:tr w:rsidR="00911C73" w:rsidRPr="00990003" w14:paraId="5B20FCF5" w14:textId="77777777" w:rsidTr="001D3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 w:type="pct"/>
          </w:tcPr>
          <w:p w14:paraId="0823B679" w14:textId="77777777" w:rsidR="00911C73" w:rsidRPr="00990003" w:rsidRDefault="00911C73" w:rsidP="001D3497">
            <w:pPr>
              <w:jc w:val="left"/>
              <w:rPr>
                <w:rFonts w:cs="Arial"/>
                <w:sz w:val="20"/>
                <w:szCs w:val="20"/>
              </w:rPr>
            </w:pPr>
          </w:p>
        </w:tc>
        <w:tc>
          <w:tcPr>
            <w:tcW w:w="594" w:type="pct"/>
          </w:tcPr>
          <w:p w14:paraId="5D1BE8DE"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 xml:space="preserve">Courses </w:t>
            </w:r>
          </w:p>
        </w:tc>
        <w:tc>
          <w:tcPr>
            <w:tcW w:w="528" w:type="pct"/>
          </w:tcPr>
          <w:p w14:paraId="12C16D3C"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Participants</w:t>
            </w:r>
          </w:p>
        </w:tc>
        <w:tc>
          <w:tcPr>
            <w:tcW w:w="2867" w:type="pct"/>
          </w:tcPr>
          <w:p w14:paraId="21884F72"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 xml:space="preserve">Objectives </w:t>
            </w:r>
          </w:p>
        </w:tc>
        <w:tc>
          <w:tcPr>
            <w:tcW w:w="580" w:type="pct"/>
          </w:tcPr>
          <w:p w14:paraId="055C882F"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 xml:space="preserve">Facilitation </w:t>
            </w:r>
          </w:p>
        </w:tc>
        <w:tc>
          <w:tcPr>
            <w:tcW w:w="323" w:type="pct"/>
          </w:tcPr>
          <w:p w14:paraId="49E1164A"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Length</w:t>
            </w:r>
          </w:p>
        </w:tc>
      </w:tr>
      <w:tr w:rsidR="00911C73" w:rsidRPr="00990003" w14:paraId="14B2DEE3" w14:textId="77777777" w:rsidTr="001D3497">
        <w:tc>
          <w:tcPr>
            <w:cnfStyle w:val="001000000000" w:firstRow="0" w:lastRow="0" w:firstColumn="1" w:lastColumn="0" w:oddVBand="0" w:evenVBand="0" w:oddHBand="0" w:evenHBand="0" w:firstRowFirstColumn="0" w:firstRowLastColumn="0" w:lastRowFirstColumn="0" w:lastRowLastColumn="0"/>
            <w:tcW w:w="108" w:type="pct"/>
          </w:tcPr>
          <w:p w14:paraId="1B95284F" w14:textId="77777777" w:rsidR="00911C73" w:rsidRPr="00990003" w:rsidRDefault="00911C73" w:rsidP="001D3497">
            <w:pPr>
              <w:numPr>
                <w:ilvl w:val="0"/>
                <w:numId w:val="30"/>
              </w:numPr>
              <w:contextualSpacing/>
              <w:jc w:val="left"/>
              <w:rPr>
                <w:rFonts w:cs="Arial"/>
                <w:sz w:val="20"/>
                <w:szCs w:val="20"/>
              </w:rPr>
            </w:pPr>
          </w:p>
        </w:tc>
        <w:tc>
          <w:tcPr>
            <w:tcW w:w="594" w:type="pct"/>
          </w:tcPr>
          <w:p w14:paraId="4438285B"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sz w:val="20"/>
                <w:szCs w:val="20"/>
              </w:rPr>
            </w:pPr>
            <w:r w:rsidRPr="00990003">
              <w:rPr>
                <w:rFonts w:cs="Arial"/>
                <w:b/>
                <w:sz w:val="20"/>
                <w:szCs w:val="20"/>
              </w:rPr>
              <w:t>SMV: </w:t>
            </w:r>
            <w:hyperlink r:id="rId43" w:history="1">
              <w:r w:rsidRPr="00990003">
                <w:rPr>
                  <w:rFonts w:cs="Arial"/>
                  <w:b/>
                  <w:sz w:val="20"/>
                  <w:szCs w:val="20"/>
                  <w:u w:val="single"/>
                </w:rPr>
                <w:t>Policy Briefing</w:t>
              </w:r>
            </w:hyperlink>
          </w:p>
        </w:tc>
        <w:tc>
          <w:tcPr>
            <w:tcW w:w="528" w:type="pct"/>
          </w:tcPr>
          <w:p w14:paraId="3970F3BD"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Recommended for all staff</w:t>
            </w:r>
          </w:p>
        </w:tc>
        <w:tc>
          <w:tcPr>
            <w:tcW w:w="2867" w:type="pct"/>
          </w:tcPr>
          <w:p w14:paraId="3D437AD8"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Raise awareness of the responsibilities of all staff under the Sexual Misconduct and Violence Policy</w:t>
            </w:r>
          </w:p>
          <w:p w14:paraId="60CC7A7F"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Define ‘sexual misconduct and violence’ (SMV) which are behaviours not tolerated within the University community </w:t>
            </w:r>
          </w:p>
          <w:p w14:paraId="1F8445A9" w14:textId="77777777" w:rsidR="00911C73" w:rsidRPr="00990003" w:rsidRDefault="00911C73" w:rsidP="001D3497">
            <w:pPr>
              <w:numPr>
                <w:ilvl w:val="0"/>
                <w:numId w:val="26"/>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Demonstrate the procedure followed from disclosure to discipline for incidents of SMV involving students and/or staff</w:t>
            </w:r>
          </w:p>
          <w:p w14:paraId="307130F9" w14:textId="77777777" w:rsidR="00911C73" w:rsidRPr="00990003" w:rsidRDefault="00911C73" w:rsidP="001D3497">
            <w:pPr>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b/>
                <w:sz w:val="20"/>
                <w:szCs w:val="20"/>
              </w:rPr>
            </w:pPr>
            <w:r w:rsidRPr="00990003">
              <w:rPr>
                <w:rFonts w:cs="Arial"/>
                <w:b/>
                <w:sz w:val="20"/>
                <w:szCs w:val="20"/>
              </w:rPr>
              <w:t>Note: Can be arranged to be delivered during team/departmental meetings</w:t>
            </w:r>
          </w:p>
        </w:tc>
        <w:tc>
          <w:tcPr>
            <w:tcW w:w="580" w:type="pct"/>
          </w:tcPr>
          <w:p w14:paraId="01708C5D" w14:textId="3328FA1F"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Facilitated in-person or via Zoom with Q&amp;A </w:t>
            </w:r>
          </w:p>
        </w:tc>
        <w:tc>
          <w:tcPr>
            <w:tcW w:w="323" w:type="pct"/>
          </w:tcPr>
          <w:p w14:paraId="55C57F56"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30 minutes</w:t>
            </w:r>
          </w:p>
        </w:tc>
      </w:tr>
      <w:tr w:rsidR="00911C73" w:rsidRPr="00990003" w14:paraId="6FA840FC" w14:textId="77777777" w:rsidTr="001D3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 w:type="pct"/>
          </w:tcPr>
          <w:p w14:paraId="2D1D64D6" w14:textId="77777777" w:rsidR="00911C73" w:rsidRPr="00990003" w:rsidRDefault="00911C73" w:rsidP="001D3497">
            <w:pPr>
              <w:numPr>
                <w:ilvl w:val="0"/>
                <w:numId w:val="30"/>
              </w:numPr>
              <w:contextualSpacing/>
              <w:jc w:val="left"/>
              <w:rPr>
                <w:rFonts w:cs="Arial"/>
                <w:sz w:val="20"/>
                <w:szCs w:val="20"/>
              </w:rPr>
            </w:pPr>
          </w:p>
        </w:tc>
        <w:tc>
          <w:tcPr>
            <w:tcW w:w="594" w:type="pct"/>
          </w:tcPr>
          <w:p w14:paraId="5BB22C53"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SMV: </w:t>
            </w:r>
            <w:hyperlink r:id="rId44" w:history="1">
              <w:r w:rsidRPr="00990003">
                <w:rPr>
                  <w:rFonts w:cs="Arial"/>
                  <w:b/>
                  <w:sz w:val="20"/>
                  <w:szCs w:val="20"/>
                  <w:u w:val="single"/>
                </w:rPr>
                <w:t>Awareness and Disclosure Training (Level 1)</w:t>
              </w:r>
            </w:hyperlink>
          </w:p>
        </w:tc>
        <w:tc>
          <w:tcPr>
            <w:tcW w:w="528" w:type="pct"/>
          </w:tcPr>
          <w:p w14:paraId="5D5B4A09"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Required for student support staff;</w:t>
            </w:r>
          </w:p>
          <w:p w14:paraId="12342BF7"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Recommended for all staff;</w:t>
            </w:r>
          </w:p>
        </w:tc>
        <w:tc>
          <w:tcPr>
            <w:tcW w:w="2867" w:type="pct"/>
          </w:tcPr>
          <w:p w14:paraId="76875D65" w14:textId="77777777" w:rsidR="00911C73" w:rsidRPr="00990003" w:rsidRDefault="00911C73" w:rsidP="001D3497">
            <w:pPr>
              <w:numPr>
                <w:ilvl w:val="0"/>
                <w:numId w:val="33"/>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Understand the definition, prevalence, impact and risks of SMV in higher education</w:t>
            </w:r>
          </w:p>
          <w:p w14:paraId="4216F483" w14:textId="77777777" w:rsidR="00911C73" w:rsidRPr="00990003" w:rsidRDefault="00911C73" w:rsidP="001D3497">
            <w:pPr>
              <w:numPr>
                <w:ilvl w:val="0"/>
                <w:numId w:val="33"/>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Challenge the societal myths that surround SMV</w:t>
            </w:r>
          </w:p>
          <w:p w14:paraId="05AF1325" w14:textId="77777777" w:rsidR="00911C73" w:rsidRPr="00990003" w:rsidRDefault="00911C73" w:rsidP="001D3497">
            <w:pPr>
              <w:numPr>
                <w:ilvl w:val="0"/>
                <w:numId w:val="33"/>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Develop skills to appropriately respond to disclosures of SMV in line with the Sexual Misconduct and Violence Policy and related procedures.  </w:t>
            </w:r>
          </w:p>
          <w:p w14:paraId="287E25D8" w14:textId="77777777" w:rsidR="00911C73" w:rsidRPr="00990003" w:rsidRDefault="00911C73" w:rsidP="001D3497">
            <w:pPr>
              <w:numPr>
                <w:ilvl w:val="0"/>
                <w:numId w:val="33"/>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Be able to signpost to support in the University and community</w:t>
            </w:r>
          </w:p>
        </w:tc>
        <w:tc>
          <w:tcPr>
            <w:tcW w:w="580" w:type="pct"/>
          </w:tcPr>
          <w:p w14:paraId="0A7E9A2D" w14:textId="028493DB"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Facilitated in-person or via Zoom </w:t>
            </w:r>
          </w:p>
        </w:tc>
        <w:tc>
          <w:tcPr>
            <w:tcW w:w="323" w:type="pct"/>
          </w:tcPr>
          <w:p w14:paraId="35ED677F"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2 hours</w:t>
            </w:r>
          </w:p>
        </w:tc>
      </w:tr>
      <w:tr w:rsidR="00911C73" w:rsidRPr="00990003" w14:paraId="01FDE888" w14:textId="77777777" w:rsidTr="001D3497">
        <w:tc>
          <w:tcPr>
            <w:cnfStyle w:val="001000000000" w:firstRow="0" w:lastRow="0" w:firstColumn="1" w:lastColumn="0" w:oddVBand="0" w:evenVBand="0" w:oddHBand="0" w:evenHBand="0" w:firstRowFirstColumn="0" w:firstRowLastColumn="0" w:lastRowFirstColumn="0" w:lastRowLastColumn="0"/>
            <w:tcW w:w="108" w:type="pct"/>
          </w:tcPr>
          <w:p w14:paraId="24D1F930" w14:textId="77777777" w:rsidR="00911C73" w:rsidRPr="00990003" w:rsidRDefault="00911C73" w:rsidP="001D3497">
            <w:pPr>
              <w:numPr>
                <w:ilvl w:val="0"/>
                <w:numId w:val="30"/>
              </w:numPr>
              <w:contextualSpacing/>
              <w:jc w:val="left"/>
              <w:rPr>
                <w:rFonts w:cs="Arial"/>
                <w:sz w:val="20"/>
                <w:szCs w:val="20"/>
              </w:rPr>
            </w:pPr>
          </w:p>
        </w:tc>
        <w:tc>
          <w:tcPr>
            <w:tcW w:w="594" w:type="pct"/>
          </w:tcPr>
          <w:p w14:paraId="265160CF"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sz w:val="20"/>
                <w:szCs w:val="20"/>
              </w:rPr>
            </w:pPr>
            <w:r w:rsidRPr="00990003">
              <w:rPr>
                <w:rFonts w:cs="Arial"/>
                <w:b/>
                <w:sz w:val="20"/>
                <w:szCs w:val="20"/>
              </w:rPr>
              <w:t xml:space="preserve">SMV: </w:t>
            </w:r>
            <w:hyperlink r:id="rId45" w:history="1">
              <w:r w:rsidRPr="00990003">
                <w:rPr>
                  <w:rFonts w:cs="Arial"/>
                  <w:b/>
                  <w:sz w:val="20"/>
                  <w:szCs w:val="20"/>
                  <w:u w:val="single"/>
                </w:rPr>
                <w:t>Disclosure and Support Training (Level 2)</w:t>
              </w:r>
            </w:hyperlink>
            <w:r w:rsidRPr="00990003">
              <w:rPr>
                <w:rFonts w:cs="Arial"/>
                <w:b/>
                <w:sz w:val="20"/>
                <w:szCs w:val="20"/>
              </w:rPr>
              <w:t xml:space="preserve"> </w:t>
            </w:r>
          </w:p>
        </w:tc>
        <w:tc>
          <w:tcPr>
            <w:tcW w:w="528" w:type="pct"/>
          </w:tcPr>
          <w:p w14:paraId="1AFBABC9" w14:textId="77777777" w:rsidR="00911C73" w:rsidRPr="00990003" w:rsidRDefault="00911C73" w:rsidP="001D3497">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Recommended for staff in student/staff support or pastoral roles;</w:t>
            </w:r>
          </w:p>
          <w:p w14:paraId="43F9F58B" w14:textId="77777777" w:rsidR="00911C73" w:rsidRPr="00990003" w:rsidRDefault="00911C73" w:rsidP="001D3497">
            <w:p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All staff welcome</w:t>
            </w:r>
          </w:p>
        </w:tc>
        <w:tc>
          <w:tcPr>
            <w:tcW w:w="2867" w:type="pct"/>
          </w:tcPr>
          <w:p w14:paraId="674D9FD3" w14:textId="77777777" w:rsidR="00911C73" w:rsidRPr="00990003" w:rsidRDefault="00911C73" w:rsidP="001D3497">
            <w:pPr>
              <w:numPr>
                <w:ilvl w:val="0"/>
                <w:numId w:val="32"/>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The aim is to prepare staff in support roles by increasing their confidence and enhancing their skills to respond appropriately to disclosures of SMV and support students/staff during investigations and disciplinary procedures, as appropriate, in line with the Sexual Misconduct &amp; Violence Policy building from the Level 1 course. </w:t>
            </w:r>
          </w:p>
          <w:p w14:paraId="27F942B0" w14:textId="77777777" w:rsidR="00911C73" w:rsidRPr="00990003" w:rsidRDefault="00911C73" w:rsidP="001D3497">
            <w:pPr>
              <w:spacing w:before="12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b/>
                <w:sz w:val="20"/>
                <w:szCs w:val="20"/>
              </w:rPr>
              <w:t>Note: Attendees must complete Level 1 as a prerequisite to be eligible to attend this course.</w:t>
            </w:r>
          </w:p>
        </w:tc>
        <w:tc>
          <w:tcPr>
            <w:tcW w:w="580" w:type="pct"/>
          </w:tcPr>
          <w:p w14:paraId="20801608" w14:textId="7F4B3030"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Co-facilitated in-person or via Zoom </w:t>
            </w:r>
          </w:p>
        </w:tc>
        <w:tc>
          <w:tcPr>
            <w:tcW w:w="323" w:type="pct"/>
          </w:tcPr>
          <w:p w14:paraId="6CD9FE4E"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Half-day / 3.5 hours</w:t>
            </w:r>
          </w:p>
        </w:tc>
      </w:tr>
      <w:tr w:rsidR="00911C73" w:rsidRPr="00990003" w14:paraId="319A5EA4" w14:textId="77777777" w:rsidTr="001D3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 w:type="pct"/>
          </w:tcPr>
          <w:p w14:paraId="04CE55FE" w14:textId="77777777" w:rsidR="00911C73" w:rsidRPr="00990003" w:rsidRDefault="00911C73" w:rsidP="001D3497">
            <w:pPr>
              <w:numPr>
                <w:ilvl w:val="0"/>
                <w:numId w:val="30"/>
              </w:numPr>
              <w:contextualSpacing/>
              <w:jc w:val="left"/>
              <w:rPr>
                <w:rFonts w:cs="Arial"/>
                <w:sz w:val="20"/>
                <w:szCs w:val="20"/>
              </w:rPr>
            </w:pPr>
          </w:p>
        </w:tc>
        <w:tc>
          <w:tcPr>
            <w:tcW w:w="594" w:type="pct"/>
          </w:tcPr>
          <w:p w14:paraId="7AC5A7AC"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 xml:space="preserve">SMV: </w:t>
            </w:r>
            <w:hyperlink r:id="rId46" w:history="1">
              <w:r w:rsidRPr="00990003">
                <w:rPr>
                  <w:rFonts w:cs="Arial"/>
                  <w:b/>
                  <w:sz w:val="20"/>
                  <w:szCs w:val="20"/>
                  <w:u w:val="single"/>
                </w:rPr>
                <w:t>Domestic Abuse and Stalking Awareness &amp; Disclosure Training</w:t>
              </w:r>
            </w:hyperlink>
          </w:p>
        </w:tc>
        <w:tc>
          <w:tcPr>
            <w:tcW w:w="528" w:type="pct"/>
          </w:tcPr>
          <w:p w14:paraId="0BBE5D60" w14:textId="77777777" w:rsidR="00911C73" w:rsidRPr="00990003" w:rsidRDefault="00911C73" w:rsidP="001D3497">
            <w:p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Recommended for staff in student/staff support or pastoral roles;</w:t>
            </w:r>
          </w:p>
          <w:p w14:paraId="2110E5CC"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All staff welcome</w:t>
            </w:r>
          </w:p>
        </w:tc>
        <w:tc>
          <w:tcPr>
            <w:tcW w:w="2867" w:type="pct"/>
          </w:tcPr>
          <w:p w14:paraId="204C863F" w14:textId="77777777" w:rsidR="00911C73" w:rsidRPr="00990003" w:rsidRDefault="00911C73" w:rsidP="001D3497">
            <w:pPr>
              <w:numPr>
                <w:ilvl w:val="0"/>
                <w:numId w:val="28"/>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Understand the definition, prevalence, impact and risks of domestic abuse and stalking in higher education impacting students and staff.</w:t>
            </w:r>
          </w:p>
          <w:p w14:paraId="32C6EF23" w14:textId="77777777" w:rsidR="00911C73" w:rsidRPr="00990003" w:rsidRDefault="00911C73" w:rsidP="001D3497">
            <w:pPr>
              <w:numPr>
                <w:ilvl w:val="0"/>
                <w:numId w:val="31"/>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Challenge the societal myths that surround domestic abuse and stalking</w:t>
            </w:r>
          </w:p>
          <w:p w14:paraId="14D0D9CC" w14:textId="77777777" w:rsidR="00911C73" w:rsidRPr="00990003" w:rsidRDefault="00911C73" w:rsidP="001D3497">
            <w:pPr>
              <w:numPr>
                <w:ilvl w:val="0"/>
                <w:numId w:val="31"/>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Develop skills to appropriately respond to disclosures of this specific form of SMV in line with the Sexual Misconduct and Violence Policy and related procedures.</w:t>
            </w:r>
          </w:p>
          <w:p w14:paraId="2B4036E9" w14:textId="77777777" w:rsidR="00911C73" w:rsidRPr="00990003" w:rsidRDefault="00911C73" w:rsidP="001D3497">
            <w:pPr>
              <w:numPr>
                <w:ilvl w:val="0"/>
                <w:numId w:val="31"/>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Be able to signpost to support in the University and community</w:t>
            </w:r>
          </w:p>
          <w:p w14:paraId="59874D47" w14:textId="77777777" w:rsidR="00911C73" w:rsidRPr="00990003" w:rsidRDefault="00911C73" w:rsidP="001D3497">
            <w:pPr>
              <w:spacing w:before="120"/>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Note: It is recommended that staff attend the Level 1 course first.</w:t>
            </w:r>
          </w:p>
        </w:tc>
        <w:tc>
          <w:tcPr>
            <w:tcW w:w="580" w:type="pct"/>
          </w:tcPr>
          <w:p w14:paraId="36AC8552" w14:textId="5AB8D188"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Co-facilitated in-person or via Zoom </w:t>
            </w:r>
          </w:p>
        </w:tc>
        <w:tc>
          <w:tcPr>
            <w:tcW w:w="323" w:type="pct"/>
          </w:tcPr>
          <w:p w14:paraId="13835D2E"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Half-day / 3.5 hours</w:t>
            </w:r>
          </w:p>
        </w:tc>
      </w:tr>
      <w:tr w:rsidR="00911C73" w:rsidRPr="00990003" w14:paraId="20ACC51D" w14:textId="77777777" w:rsidTr="001D3497">
        <w:tc>
          <w:tcPr>
            <w:cnfStyle w:val="001000000000" w:firstRow="0" w:lastRow="0" w:firstColumn="1" w:lastColumn="0" w:oddVBand="0" w:evenVBand="0" w:oddHBand="0" w:evenHBand="0" w:firstRowFirstColumn="0" w:firstRowLastColumn="0" w:lastRowFirstColumn="0" w:lastRowLastColumn="0"/>
            <w:tcW w:w="108" w:type="pct"/>
          </w:tcPr>
          <w:p w14:paraId="0A2D8483" w14:textId="77777777" w:rsidR="00911C73" w:rsidRPr="00990003" w:rsidRDefault="00911C73" w:rsidP="001D3497">
            <w:pPr>
              <w:numPr>
                <w:ilvl w:val="0"/>
                <w:numId w:val="30"/>
              </w:numPr>
              <w:contextualSpacing/>
              <w:jc w:val="left"/>
              <w:rPr>
                <w:rFonts w:cs="Arial"/>
                <w:sz w:val="20"/>
                <w:szCs w:val="20"/>
              </w:rPr>
            </w:pPr>
          </w:p>
        </w:tc>
        <w:tc>
          <w:tcPr>
            <w:tcW w:w="594" w:type="pct"/>
          </w:tcPr>
          <w:p w14:paraId="0F413B48"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sz w:val="20"/>
                <w:szCs w:val="20"/>
              </w:rPr>
            </w:pPr>
            <w:r w:rsidRPr="00990003">
              <w:rPr>
                <w:rFonts w:cs="Arial"/>
                <w:b/>
                <w:sz w:val="20"/>
                <w:szCs w:val="20"/>
              </w:rPr>
              <w:t xml:space="preserve">SMV: Trauma-informed Investigation, Adjudication and Sanctioning for Sexual </w:t>
            </w:r>
            <w:r w:rsidRPr="00990003">
              <w:rPr>
                <w:rFonts w:cs="Arial"/>
                <w:b/>
                <w:sz w:val="20"/>
                <w:szCs w:val="20"/>
              </w:rPr>
              <w:lastRenderedPageBreak/>
              <w:t>Misconduct Training</w:t>
            </w:r>
          </w:p>
        </w:tc>
        <w:tc>
          <w:tcPr>
            <w:tcW w:w="528" w:type="pct"/>
          </w:tcPr>
          <w:p w14:paraId="548BFAA5"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lastRenderedPageBreak/>
              <w:t xml:space="preserve">Required for staff in investigation or discipline decision-making roles </w:t>
            </w:r>
            <w:r w:rsidRPr="00990003">
              <w:rPr>
                <w:rFonts w:cs="Arial"/>
                <w:sz w:val="20"/>
                <w:szCs w:val="20"/>
              </w:rPr>
              <w:lastRenderedPageBreak/>
              <w:t>for student or staff cases dealt with under the SMV Policy.</w:t>
            </w:r>
          </w:p>
          <w:p w14:paraId="191B5C58"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49B24B9F"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All staff welcome</w:t>
            </w:r>
          </w:p>
        </w:tc>
        <w:tc>
          <w:tcPr>
            <w:tcW w:w="2867" w:type="pct"/>
          </w:tcPr>
          <w:p w14:paraId="580C00AE" w14:textId="77777777" w:rsidR="00911C73" w:rsidRPr="00990003" w:rsidRDefault="00911C73" w:rsidP="001D3497">
            <w:pPr>
              <w:numPr>
                <w:ilvl w:val="0"/>
                <w:numId w:val="28"/>
              </w:numPr>
              <w:spacing w:before="20" w:after="20"/>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lastRenderedPageBreak/>
              <w:t>Understand the types, prevalence, impact, and risks of SMV in HE</w:t>
            </w:r>
          </w:p>
          <w:p w14:paraId="5F82FEF5" w14:textId="77777777" w:rsidR="00911C73" w:rsidRPr="00990003" w:rsidRDefault="00911C73" w:rsidP="001D3497">
            <w:pPr>
              <w:numPr>
                <w:ilvl w:val="0"/>
                <w:numId w:val="28"/>
              </w:numPr>
              <w:spacing w:before="20" w:after="20"/>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Analyse the difference between harassment and misconduct</w:t>
            </w:r>
          </w:p>
          <w:p w14:paraId="3F7BDE7C" w14:textId="77777777" w:rsidR="00911C73" w:rsidRPr="00990003" w:rsidRDefault="00911C73" w:rsidP="001D3497">
            <w:pPr>
              <w:numPr>
                <w:ilvl w:val="0"/>
                <w:numId w:val="28"/>
              </w:numPr>
              <w:spacing w:before="20" w:after="20"/>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Evaluate how the prevalence applies to the civil standard of proof required of universities </w:t>
            </w:r>
          </w:p>
          <w:p w14:paraId="0E1320F4" w14:textId="77777777" w:rsidR="00911C73" w:rsidRPr="00990003" w:rsidRDefault="00911C73" w:rsidP="001D3497">
            <w:pPr>
              <w:numPr>
                <w:ilvl w:val="0"/>
                <w:numId w:val="28"/>
              </w:numPr>
              <w:spacing w:before="20" w:after="20"/>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Analyse myths that surround SMV to understand how they can impact an investigation or adjudication process </w:t>
            </w:r>
          </w:p>
          <w:p w14:paraId="0EE3E552" w14:textId="77777777" w:rsidR="00911C73" w:rsidRPr="00990003" w:rsidRDefault="00911C73" w:rsidP="001D3497">
            <w:pPr>
              <w:numPr>
                <w:ilvl w:val="0"/>
                <w:numId w:val="28"/>
              </w:numPr>
              <w:spacing w:before="20" w:after="20"/>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Understand the neurobiology of trauma and be able to identify signs of trauma in order to </w:t>
            </w:r>
            <w:r w:rsidRPr="00990003">
              <w:rPr>
                <w:rFonts w:cs="Arial"/>
                <w:sz w:val="20"/>
                <w:szCs w:val="20"/>
              </w:rPr>
              <w:lastRenderedPageBreak/>
              <w:t>develop skills for conducting a trauma-informed investigation</w:t>
            </w:r>
          </w:p>
          <w:p w14:paraId="57E12280" w14:textId="77777777" w:rsidR="00911C73" w:rsidRPr="00990003" w:rsidRDefault="00911C73" w:rsidP="001D3497">
            <w:pPr>
              <w:numPr>
                <w:ilvl w:val="0"/>
                <w:numId w:val="28"/>
              </w:numPr>
              <w:spacing w:before="20" w:after="20"/>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Apply investigative strategies and skills to effectively gather evidence and interview parties</w:t>
            </w:r>
          </w:p>
          <w:p w14:paraId="72F56CAD" w14:textId="77777777" w:rsidR="00911C73" w:rsidRPr="00990003" w:rsidRDefault="00911C73" w:rsidP="001D3497">
            <w:pPr>
              <w:numPr>
                <w:ilvl w:val="0"/>
                <w:numId w:val="28"/>
              </w:numPr>
              <w:spacing w:before="20" w:after="20"/>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Analyse the consent defence to apply an analytic to guide investigations and adjudication </w:t>
            </w:r>
          </w:p>
          <w:p w14:paraId="4C57236E" w14:textId="77777777" w:rsidR="00911C73" w:rsidRPr="00990003" w:rsidRDefault="00911C73" w:rsidP="001D3497">
            <w:pPr>
              <w:numPr>
                <w:ilvl w:val="0"/>
                <w:numId w:val="28"/>
              </w:numPr>
              <w:spacing w:before="20" w:after="20"/>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Understand how to weigh and assess evidence through a credibility assessment to apply the civil standard of proof</w:t>
            </w:r>
          </w:p>
          <w:p w14:paraId="45F71318" w14:textId="77777777" w:rsidR="00911C73" w:rsidRPr="00990003" w:rsidRDefault="00911C73" w:rsidP="001D3497">
            <w:pPr>
              <w:numPr>
                <w:ilvl w:val="0"/>
                <w:numId w:val="28"/>
              </w:numPr>
              <w:spacing w:before="20" w:after="20"/>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Develop skills to present an investigation outcome and further disciplinary action </w:t>
            </w:r>
          </w:p>
          <w:p w14:paraId="32A45B48" w14:textId="77777777" w:rsidR="00911C73" w:rsidRPr="00990003" w:rsidRDefault="00911C73" w:rsidP="001D3497">
            <w:pPr>
              <w:numPr>
                <w:ilvl w:val="0"/>
                <w:numId w:val="28"/>
              </w:numPr>
              <w:spacing w:before="20" w:after="20"/>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Create and apply appropriate guidelines for sanctions following findings of SMV</w:t>
            </w:r>
          </w:p>
          <w:p w14:paraId="664EB1A5"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Apply self-care techniques</w:t>
            </w:r>
          </w:p>
          <w:p w14:paraId="7401F4A2" w14:textId="77777777" w:rsidR="00911C73" w:rsidRPr="00990003" w:rsidRDefault="00911C73" w:rsidP="001D3497">
            <w:pPr>
              <w:spacing w:before="12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b/>
                <w:sz w:val="20"/>
                <w:szCs w:val="20"/>
              </w:rPr>
              <w:t>Note: Attendees must complete Level 1 as a prerequisite to be eligible to attend this course.</w:t>
            </w:r>
          </w:p>
        </w:tc>
        <w:tc>
          <w:tcPr>
            <w:tcW w:w="580" w:type="pct"/>
          </w:tcPr>
          <w:p w14:paraId="0A12E80F" w14:textId="0232321A"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lastRenderedPageBreak/>
              <w:t xml:space="preserve">Facilitated in-person or via Zoom </w:t>
            </w:r>
          </w:p>
        </w:tc>
        <w:tc>
          <w:tcPr>
            <w:tcW w:w="323" w:type="pct"/>
          </w:tcPr>
          <w:p w14:paraId="125D4F02"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3 half-day or 1 full day sessions available </w:t>
            </w:r>
          </w:p>
        </w:tc>
      </w:tr>
      <w:tr w:rsidR="00911C73" w:rsidRPr="00990003" w14:paraId="29438092" w14:textId="77777777" w:rsidTr="001D3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BEA75D"/>
          </w:tcPr>
          <w:p w14:paraId="1F12A4A8" w14:textId="77777777" w:rsidR="00911C73" w:rsidRPr="00990003" w:rsidRDefault="00911C73" w:rsidP="001D3497">
            <w:pPr>
              <w:numPr>
                <w:ilvl w:val="0"/>
                <w:numId w:val="29"/>
              </w:numPr>
              <w:jc w:val="left"/>
              <w:rPr>
                <w:rFonts w:cs="Arial"/>
                <w:sz w:val="20"/>
                <w:szCs w:val="20"/>
              </w:rPr>
            </w:pPr>
            <w:r w:rsidRPr="00990003">
              <w:rPr>
                <w:rFonts w:cs="Arial"/>
                <w:sz w:val="18"/>
                <w:szCs w:val="18"/>
              </w:rPr>
              <w:t xml:space="preserve">SELF-PACED ONLINE TRAINING </w:t>
            </w:r>
          </w:p>
        </w:tc>
      </w:tr>
      <w:tr w:rsidR="00911C73" w:rsidRPr="00990003" w14:paraId="18F1E79D" w14:textId="77777777" w:rsidTr="001D3497">
        <w:tc>
          <w:tcPr>
            <w:cnfStyle w:val="001000000000" w:firstRow="0" w:lastRow="0" w:firstColumn="1" w:lastColumn="0" w:oddVBand="0" w:evenVBand="0" w:oddHBand="0" w:evenHBand="0" w:firstRowFirstColumn="0" w:firstRowLastColumn="0" w:lastRowFirstColumn="0" w:lastRowLastColumn="0"/>
            <w:tcW w:w="108" w:type="pct"/>
          </w:tcPr>
          <w:p w14:paraId="1DA83C14" w14:textId="77777777" w:rsidR="00911C73" w:rsidRPr="00990003" w:rsidRDefault="00911C73" w:rsidP="001D3497">
            <w:pPr>
              <w:numPr>
                <w:ilvl w:val="0"/>
                <w:numId w:val="30"/>
              </w:numPr>
              <w:contextualSpacing/>
              <w:jc w:val="left"/>
              <w:rPr>
                <w:rFonts w:cs="Arial"/>
                <w:sz w:val="20"/>
                <w:szCs w:val="20"/>
              </w:rPr>
            </w:pPr>
          </w:p>
        </w:tc>
        <w:tc>
          <w:tcPr>
            <w:tcW w:w="594" w:type="pct"/>
          </w:tcPr>
          <w:p w14:paraId="5A159957"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sz w:val="20"/>
                <w:szCs w:val="20"/>
              </w:rPr>
            </w:pPr>
            <w:r w:rsidRPr="00990003">
              <w:rPr>
                <w:rFonts w:cs="Arial"/>
                <w:b/>
                <w:sz w:val="20"/>
                <w:szCs w:val="20"/>
              </w:rPr>
              <w:t>SMV: </w:t>
            </w:r>
            <w:hyperlink r:id="rId47" w:history="1">
              <w:r w:rsidRPr="00990003">
                <w:rPr>
                  <w:rFonts w:cs="Arial"/>
                  <w:b/>
                  <w:sz w:val="20"/>
                  <w:szCs w:val="20"/>
                  <w:u w:val="single"/>
                </w:rPr>
                <w:t>Responding to Disclosures of Sexual Violence</w:t>
              </w:r>
            </w:hyperlink>
          </w:p>
        </w:tc>
        <w:tc>
          <w:tcPr>
            <w:tcW w:w="528" w:type="pct"/>
          </w:tcPr>
          <w:p w14:paraId="09A882CA"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Available for all staff and students</w:t>
            </w:r>
          </w:p>
        </w:tc>
        <w:tc>
          <w:tcPr>
            <w:tcW w:w="2867" w:type="pct"/>
          </w:tcPr>
          <w:p w14:paraId="20AE2D3E"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Demonstrate an awareness of the issues and initiatives around sexual violence.</w:t>
            </w:r>
          </w:p>
          <w:p w14:paraId="550A5D4B"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Define what constitutes consent and identify the legal definitions of sexual offences.</w:t>
            </w:r>
          </w:p>
          <w:p w14:paraId="09A9E1D0"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Dispel common myths and misconceptions around sexual violence.</w:t>
            </w:r>
          </w:p>
          <w:p w14:paraId="55489AB0"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React and respond to survivors appropriately</w:t>
            </w:r>
          </w:p>
          <w:p w14:paraId="5D633FA2"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Explain the different support and reporting options available to survivors.</w:t>
            </w:r>
          </w:p>
          <w:p w14:paraId="438D00B2"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Demonstrate best practices for responding to a disclosure.</w:t>
            </w:r>
          </w:p>
          <w:p w14:paraId="13607426"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Recognise when they (the responder) may need support in dealing with a disclosure.</w:t>
            </w:r>
          </w:p>
          <w:p w14:paraId="76549438" w14:textId="77777777" w:rsidR="00911C73" w:rsidRPr="00990003" w:rsidRDefault="00911C73" w:rsidP="001D3497">
            <w:pPr>
              <w:spacing w:before="120"/>
              <w:jc w:val="left"/>
              <w:cnfStyle w:val="000000000000" w:firstRow="0" w:lastRow="0" w:firstColumn="0" w:lastColumn="0" w:oddVBand="0" w:evenVBand="0" w:oddHBand="0" w:evenHBand="0" w:firstRowFirstColumn="0" w:firstRowLastColumn="0" w:lastRowFirstColumn="0" w:lastRowLastColumn="0"/>
              <w:rPr>
                <w:rFonts w:cs="Arial"/>
                <w:b/>
                <w:sz w:val="20"/>
                <w:szCs w:val="20"/>
              </w:rPr>
            </w:pPr>
            <w:r w:rsidRPr="00990003">
              <w:rPr>
                <w:rFonts w:cs="Arial"/>
                <w:b/>
                <w:sz w:val="20"/>
                <w:szCs w:val="20"/>
              </w:rPr>
              <w:t>Note: Not Durham University specific. This course may also be used as reference or a refresh from the Durham-specific training offered above.</w:t>
            </w:r>
          </w:p>
        </w:tc>
        <w:tc>
          <w:tcPr>
            <w:tcW w:w="580" w:type="pct"/>
          </w:tcPr>
          <w:p w14:paraId="25C70DF3"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Self-paced online module on Oracle Learn</w:t>
            </w:r>
          </w:p>
        </w:tc>
        <w:tc>
          <w:tcPr>
            <w:tcW w:w="323" w:type="pct"/>
          </w:tcPr>
          <w:p w14:paraId="606EE271"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1 hour</w:t>
            </w:r>
          </w:p>
        </w:tc>
      </w:tr>
      <w:tr w:rsidR="00911C73" w:rsidRPr="00990003" w14:paraId="2C1BF98C" w14:textId="77777777" w:rsidTr="001D3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 w:type="pct"/>
          </w:tcPr>
          <w:p w14:paraId="134F2E5B" w14:textId="77777777" w:rsidR="00911C73" w:rsidRPr="00990003" w:rsidRDefault="00911C73" w:rsidP="001D3497">
            <w:pPr>
              <w:numPr>
                <w:ilvl w:val="0"/>
                <w:numId w:val="30"/>
              </w:numPr>
              <w:contextualSpacing/>
              <w:jc w:val="left"/>
              <w:rPr>
                <w:rFonts w:cs="Arial"/>
                <w:sz w:val="20"/>
                <w:szCs w:val="20"/>
              </w:rPr>
            </w:pPr>
          </w:p>
        </w:tc>
        <w:tc>
          <w:tcPr>
            <w:tcW w:w="594" w:type="pct"/>
          </w:tcPr>
          <w:p w14:paraId="5FB21500"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b/>
                <w:sz w:val="20"/>
                <w:szCs w:val="20"/>
              </w:rPr>
            </w:pPr>
            <w:r w:rsidRPr="00990003">
              <w:rPr>
                <w:rFonts w:cs="Arial"/>
                <w:b/>
                <w:sz w:val="20"/>
                <w:szCs w:val="20"/>
              </w:rPr>
              <w:t xml:space="preserve">SkillBoosters: </w:t>
            </w:r>
            <w:hyperlink r:id="rId48" w:history="1">
              <w:r w:rsidRPr="00990003">
                <w:rPr>
                  <w:rFonts w:cs="Arial"/>
                  <w:b/>
                  <w:sz w:val="20"/>
                  <w:szCs w:val="20"/>
                  <w:u w:val="single"/>
                </w:rPr>
                <w:t>Understanding and confronting sexual harassment</w:t>
              </w:r>
            </w:hyperlink>
          </w:p>
        </w:tc>
        <w:tc>
          <w:tcPr>
            <w:tcW w:w="528" w:type="pct"/>
          </w:tcPr>
          <w:p w14:paraId="4DDC86D4"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All staff</w:t>
            </w:r>
          </w:p>
          <w:p w14:paraId="202D4716"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p>
          <w:p w14:paraId="040CE931"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 xml:space="preserve">Recommended for managers </w:t>
            </w:r>
          </w:p>
        </w:tc>
        <w:tc>
          <w:tcPr>
            <w:tcW w:w="2867" w:type="pct"/>
          </w:tcPr>
          <w:p w14:paraId="7E5ABA3D" w14:textId="77777777" w:rsidR="00911C73" w:rsidRPr="00990003" w:rsidRDefault="00911C73" w:rsidP="001D3497">
            <w:p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This course will give a better understanding of:</w:t>
            </w:r>
          </w:p>
          <w:p w14:paraId="79A7B443" w14:textId="77777777" w:rsidR="00911C73" w:rsidRPr="00990003" w:rsidRDefault="00911C73" w:rsidP="001D3497">
            <w:pPr>
              <w:numPr>
                <w:ilvl w:val="0"/>
                <w:numId w:val="28"/>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the causes and dynamics of sexual harassment</w:t>
            </w:r>
          </w:p>
          <w:p w14:paraId="31BB6327" w14:textId="77777777" w:rsidR="00911C73" w:rsidRPr="00990003" w:rsidRDefault="00911C73" w:rsidP="001D3497">
            <w:pPr>
              <w:numPr>
                <w:ilvl w:val="0"/>
                <w:numId w:val="28"/>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how it impacts at an individual and organisational level</w:t>
            </w:r>
          </w:p>
          <w:p w14:paraId="7CD7AFE6" w14:textId="77777777" w:rsidR="00911C73" w:rsidRPr="00990003" w:rsidRDefault="00911C73" w:rsidP="001D3497">
            <w:pPr>
              <w:numPr>
                <w:ilvl w:val="0"/>
                <w:numId w:val="28"/>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effective intervention strategies for victims and bystanders</w:t>
            </w:r>
          </w:p>
          <w:p w14:paraId="7983F77F" w14:textId="77777777" w:rsidR="00911C73" w:rsidRPr="00990003" w:rsidRDefault="00911C73" w:rsidP="001D3497">
            <w:pPr>
              <w:numPr>
                <w:ilvl w:val="0"/>
                <w:numId w:val="28"/>
              </w:numPr>
              <w:contextualSpacing/>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how to respond to sexual harassment if you’re on the receiving end.</w:t>
            </w:r>
          </w:p>
          <w:p w14:paraId="56BAC789" w14:textId="77777777" w:rsidR="00911C73" w:rsidRPr="00990003" w:rsidRDefault="00911C73" w:rsidP="001D3497">
            <w:pPr>
              <w:spacing w:before="120"/>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b/>
                <w:sz w:val="20"/>
                <w:szCs w:val="20"/>
              </w:rPr>
              <w:t>Note: Not Durham University specific. This course may also be used as reference or a refresh from the Durham-specific training offered above.</w:t>
            </w:r>
          </w:p>
        </w:tc>
        <w:tc>
          <w:tcPr>
            <w:tcW w:w="580" w:type="pct"/>
          </w:tcPr>
          <w:p w14:paraId="5685AB1C"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Self-paced online module on Oracle Learn</w:t>
            </w:r>
          </w:p>
        </w:tc>
        <w:tc>
          <w:tcPr>
            <w:tcW w:w="323" w:type="pct"/>
          </w:tcPr>
          <w:p w14:paraId="610230EE" w14:textId="77777777" w:rsidR="00911C73" w:rsidRPr="00990003" w:rsidRDefault="00911C73" w:rsidP="001D3497">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990003">
              <w:rPr>
                <w:rFonts w:cs="Arial"/>
                <w:sz w:val="20"/>
                <w:szCs w:val="20"/>
              </w:rPr>
              <w:t>20 – 30 minutes</w:t>
            </w:r>
          </w:p>
        </w:tc>
      </w:tr>
      <w:tr w:rsidR="00911C73" w:rsidRPr="00990003" w14:paraId="4DC1EBD9" w14:textId="77777777" w:rsidTr="001D3497">
        <w:tc>
          <w:tcPr>
            <w:cnfStyle w:val="001000000000" w:firstRow="0" w:lastRow="0" w:firstColumn="1" w:lastColumn="0" w:oddVBand="0" w:evenVBand="0" w:oddHBand="0" w:evenHBand="0" w:firstRowFirstColumn="0" w:firstRowLastColumn="0" w:lastRowFirstColumn="0" w:lastRowLastColumn="0"/>
            <w:tcW w:w="108" w:type="pct"/>
          </w:tcPr>
          <w:p w14:paraId="48413697" w14:textId="77777777" w:rsidR="00911C73" w:rsidRPr="00990003" w:rsidRDefault="00911C73" w:rsidP="001D3497">
            <w:pPr>
              <w:numPr>
                <w:ilvl w:val="0"/>
                <w:numId w:val="30"/>
              </w:numPr>
              <w:contextualSpacing/>
              <w:jc w:val="left"/>
              <w:rPr>
                <w:rFonts w:cs="Arial"/>
                <w:sz w:val="20"/>
                <w:szCs w:val="20"/>
              </w:rPr>
            </w:pPr>
          </w:p>
        </w:tc>
        <w:tc>
          <w:tcPr>
            <w:tcW w:w="594" w:type="pct"/>
          </w:tcPr>
          <w:p w14:paraId="08D82AAE"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b/>
                <w:sz w:val="20"/>
                <w:szCs w:val="20"/>
              </w:rPr>
            </w:pPr>
            <w:r w:rsidRPr="00990003">
              <w:rPr>
                <w:rFonts w:cs="Arial"/>
                <w:b/>
                <w:sz w:val="20"/>
                <w:szCs w:val="20"/>
              </w:rPr>
              <w:t xml:space="preserve">SkillBoosters: </w:t>
            </w:r>
            <w:hyperlink r:id="rId49" w:history="1">
              <w:r w:rsidRPr="00990003">
                <w:rPr>
                  <w:rFonts w:cs="Arial"/>
                  <w:b/>
                  <w:sz w:val="20"/>
                  <w:szCs w:val="20"/>
                  <w:u w:val="single"/>
                </w:rPr>
                <w:t>Domestic Abuse - Supporting Employees in the Workplace</w:t>
              </w:r>
            </w:hyperlink>
          </w:p>
        </w:tc>
        <w:tc>
          <w:tcPr>
            <w:tcW w:w="528" w:type="pct"/>
          </w:tcPr>
          <w:p w14:paraId="67EA174C"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All staff</w:t>
            </w:r>
          </w:p>
          <w:p w14:paraId="1A8CA065"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1FF1F7BE"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Recommended for managers </w:t>
            </w:r>
          </w:p>
        </w:tc>
        <w:tc>
          <w:tcPr>
            <w:tcW w:w="2867" w:type="pct"/>
          </w:tcPr>
          <w:p w14:paraId="20B9FE94" w14:textId="77777777" w:rsidR="00911C73" w:rsidRPr="00990003" w:rsidRDefault="00911C73" w:rsidP="001D3497">
            <w:pPr>
              <w:numPr>
                <w:ilvl w:val="0"/>
                <w:numId w:val="28"/>
              </w:numPr>
              <w:contextualSpacing/>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 xml:space="preserve">This course will look at the forms that domestic abuse can take, its prevalence and impact, how to spot the warning signs, and what organisations can do to ensure they are providing appropriate support for survivors among their employees. </w:t>
            </w:r>
          </w:p>
          <w:p w14:paraId="1A684358" w14:textId="77777777" w:rsidR="00911C73" w:rsidRPr="00990003" w:rsidRDefault="00911C73" w:rsidP="001D3497">
            <w:pPr>
              <w:spacing w:before="12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b/>
                <w:sz w:val="20"/>
                <w:szCs w:val="20"/>
              </w:rPr>
              <w:t>Note: Not Durham University specific. This course may also be used as reference or a refresh from the Durham-specific training offered above.</w:t>
            </w:r>
          </w:p>
        </w:tc>
        <w:tc>
          <w:tcPr>
            <w:tcW w:w="580" w:type="pct"/>
          </w:tcPr>
          <w:p w14:paraId="2CEC36B3"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Self-paced online module on Oracle Learn</w:t>
            </w:r>
          </w:p>
        </w:tc>
        <w:tc>
          <w:tcPr>
            <w:tcW w:w="323" w:type="pct"/>
          </w:tcPr>
          <w:p w14:paraId="7CFB3F8C" w14:textId="77777777" w:rsidR="00911C73" w:rsidRPr="00990003" w:rsidRDefault="00911C73" w:rsidP="001D3497">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990003">
              <w:rPr>
                <w:rFonts w:cs="Arial"/>
                <w:sz w:val="20"/>
                <w:szCs w:val="20"/>
              </w:rPr>
              <w:t>30 – 45 minutes</w:t>
            </w:r>
          </w:p>
        </w:tc>
      </w:tr>
    </w:tbl>
    <w:p w14:paraId="2381C5C4" w14:textId="77777777" w:rsidR="00911C73" w:rsidRPr="00990003" w:rsidRDefault="00911C73" w:rsidP="00911C73">
      <w:pPr>
        <w:widowControl w:val="0"/>
        <w:spacing w:line="259" w:lineRule="auto"/>
        <w:ind w:right="306"/>
        <w:jc w:val="left"/>
        <w:rPr>
          <w:rFonts w:ascii="Calibri" w:eastAsia="Calibri" w:hAnsi="Calibri" w:cs="Arial"/>
          <w:color w:val="002A41"/>
          <w:sz w:val="2"/>
          <w:szCs w:val="2"/>
          <w:lang w:val="en-US" w:eastAsia="en-US"/>
        </w:rPr>
      </w:pPr>
    </w:p>
    <w:tbl>
      <w:tblPr>
        <w:tblStyle w:val="GridTable4-Accent32"/>
        <w:tblpPr w:leftFromText="180" w:rightFromText="180" w:vertAnchor="text" w:horzAnchor="margin" w:tblpXSpec="right" w:tblpY="88"/>
        <w:tblW w:w="0" w:type="auto"/>
        <w:shd w:val="clear" w:color="auto" w:fill="54145A"/>
        <w:tblLook w:val="0420" w:firstRow="1" w:lastRow="0" w:firstColumn="0" w:lastColumn="0" w:noHBand="0" w:noVBand="1"/>
      </w:tblPr>
      <w:tblGrid>
        <w:gridCol w:w="15381"/>
      </w:tblGrid>
      <w:tr w:rsidR="00911C73" w:rsidRPr="00990003" w14:paraId="64C3211C" w14:textId="77777777" w:rsidTr="001D3497">
        <w:trPr>
          <w:cnfStyle w:val="100000000000" w:firstRow="1" w:lastRow="0" w:firstColumn="0" w:lastColumn="0" w:oddVBand="0" w:evenVBand="0" w:oddHBand="0" w:evenHBand="0" w:firstRowFirstColumn="0" w:firstRowLastColumn="0" w:lastRowFirstColumn="0" w:lastRowLastColumn="0"/>
          <w:trHeight w:val="277"/>
        </w:trPr>
        <w:tc>
          <w:tcPr>
            <w:tcW w:w="15381" w:type="dxa"/>
            <w:shd w:val="clear" w:color="auto" w:fill="54145A"/>
          </w:tcPr>
          <w:p w14:paraId="448CB330" w14:textId="77777777" w:rsidR="00911C73" w:rsidRPr="00990003" w:rsidRDefault="00911C73" w:rsidP="001D3497">
            <w:pPr>
              <w:spacing w:before="60" w:after="60"/>
              <w:ind w:right="-130"/>
              <w:jc w:val="left"/>
              <w:rPr>
                <w:rFonts w:cs="Arial"/>
                <w:color w:val="002A41"/>
                <w:spacing w:val="-1"/>
                <w:sz w:val="20"/>
                <w:szCs w:val="20"/>
              </w:rPr>
            </w:pPr>
            <w:r w:rsidRPr="00990003">
              <w:rPr>
                <w:rFonts w:cs="Arial"/>
                <w:spacing w:val="-1"/>
                <w:sz w:val="20"/>
                <w:szCs w:val="20"/>
              </w:rPr>
              <w:t>For More Information or to Book a Course</w:t>
            </w:r>
          </w:p>
        </w:tc>
      </w:tr>
      <w:tr w:rsidR="00911C73" w:rsidRPr="009633A6" w14:paraId="25CF1723" w14:textId="77777777" w:rsidTr="001D3497">
        <w:trPr>
          <w:cnfStyle w:val="000000100000" w:firstRow="0" w:lastRow="0" w:firstColumn="0" w:lastColumn="0" w:oddVBand="0" w:evenVBand="0" w:oddHBand="1" w:evenHBand="0" w:firstRowFirstColumn="0" w:firstRowLastColumn="0" w:lastRowFirstColumn="0" w:lastRowLastColumn="0"/>
        </w:trPr>
        <w:tc>
          <w:tcPr>
            <w:tcW w:w="15381" w:type="dxa"/>
            <w:shd w:val="clear" w:color="auto" w:fill="CBA8B1"/>
          </w:tcPr>
          <w:p w14:paraId="2CDA25DC" w14:textId="77777777" w:rsidR="00911C73" w:rsidRPr="00A56206" w:rsidRDefault="00911C73" w:rsidP="001D3497">
            <w:pPr>
              <w:spacing w:before="60" w:after="60"/>
              <w:ind w:right="-130"/>
              <w:jc w:val="left"/>
              <w:rPr>
                <w:rFonts w:cs="Arial"/>
                <w:spacing w:val="-1"/>
                <w:sz w:val="20"/>
                <w:szCs w:val="20"/>
              </w:rPr>
            </w:pPr>
            <w:r w:rsidRPr="00A56206">
              <w:rPr>
                <w:rFonts w:cs="Arial"/>
                <w:spacing w:val="-1"/>
                <w:sz w:val="20"/>
                <w:szCs w:val="20"/>
              </w:rPr>
              <w:t>SMV training can be booked via </w:t>
            </w:r>
            <w:hyperlink r:id="rId50" w:history="1">
              <w:r w:rsidRPr="00A56206">
                <w:rPr>
                  <w:rFonts w:cs="Arial"/>
                  <w:bCs/>
                  <w:spacing w:val="-1"/>
                  <w:sz w:val="20"/>
                  <w:szCs w:val="20"/>
                  <w:u w:val="single"/>
                </w:rPr>
                <w:t>Oracle Learn</w:t>
              </w:r>
            </w:hyperlink>
            <w:r w:rsidRPr="00A56206">
              <w:rPr>
                <w:rFonts w:cs="Arial"/>
                <w:b/>
                <w:bCs/>
                <w:spacing w:val="-1"/>
                <w:sz w:val="20"/>
                <w:szCs w:val="20"/>
              </w:rPr>
              <w:t>.</w:t>
            </w:r>
            <w:r w:rsidRPr="00A56206">
              <w:rPr>
                <w:rFonts w:cs="Arial"/>
                <w:spacing w:val="-1"/>
                <w:sz w:val="20"/>
                <w:szCs w:val="20"/>
              </w:rPr>
              <w:t xml:space="preserve"> Log on, click on ‘Learning’ and then search ‘SMV’ in the search box to enrol on a course. </w:t>
            </w:r>
          </w:p>
          <w:p w14:paraId="47EB37F9" w14:textId="47848BFA" w:rsidR="00911C73" w:rsidRPr="009633A6" w:rsidRDefault="00911C73" w:rsidP="001D3497">
            <w:pPr>
              <w:spacing w:before="60" w:after="60"/>
              <w:ind w:right="-130"/>
              <w:jc w:val="left"/>
              <w:rPr>
                <w:rFonts w:cs="Arial"/>
                <w:color w:val="002A41"/>
                <w:spacing w:val="-1"/>
                <w:sz w:val="20"/>
                <w:szCs w:val="20"/>
              </w:rPr>
            </w:pPr>
            <w:r w:rsidRPr="00A56206">
              <w:rPr>
                <w:rFonts w:cs="Arial"/>
                <w:spacing w:val="-1"/>
                <w:sz w:val="20"/>
                <w:szCs w:val="20"/>
              </w:rPr>
              <w:t xml:space="preserve">Any questions? </w:t>
            </w:r>
            <w:r w:rsidR="00A56206" w:rsidRPr="00A56206">
              <w:rPr>
                <w:rFonts w:eastAsia="Times New Roman" w:cs="Arial"/>
                <w:spacing w:val="-1"/>
                <w:sz w:val="20"/>
                <w:szCs w:val="20"/>
                <w:lang w:val="en-GB" w:eastAsia="en-GB"/>
              </w:rPr>
              <w:t xml:space="preserve"> </w:t>
            </w:r>
            <w:r w:rsidR="00A56206" w:rsidRPr="00A56206">
              <w:rPr>
                <w:rFonts w:cs="Arial"/>
                <w:spacing w:val="-1"/>
                <w:sz w:val="20"/>
                <w:szCs w:val="20"/>
                <w:lang w:val="en-GB"/>
              </w:rPr>
              <w:t xml:space="preserve">Please contact the Student Conduct Office at </w:t>
            </w:r>
            <w:hyperlink r:id="rId51" w:history="1">
              <w:r w:rsidR="00A56206" w:rsidRPr="00A56206">
                <w:rPr>
                  <w:rStyle w:val="Hyperlink"/>
                  <w:rFonts w:cs="Arial"/>
                  <w:color w:val="auto"/>
                  <w:spacing w:val="-1"/>
                  <w:sz w:val="20"/>
                  <w:szCs w:val="20"/>
                  <w:lang w:val="en-GB"/>
                </w:rPr>
                <w:t>student.cases@durham.ac.uk</w:t>
              </w:r>
            </w:hyperlink>
            <w:r w:rsidR="00A56206" w:rsidRPr="00A56206">
              <w:rPr>
                <w:rFonts w:cs="Arial"/>
                <w:spacing w:val="-1"/>
                <w:sz w:val="20"/>
                <w:szCs w:val="20"/>
                <w:lang w:val="en-GB"/>
              </w:rPr>
              <w:t>.</w:t>
            </w:r>
          </w:p>
        </w:tc>
      </w:tr>
    </w:tbl>
    <w:p w14:paraId="05DFD970" w14:textId="10A4C94D" w:rsidR="00562D3C" w:rsidRPr="00A26D50" w:rsidRDefault="00562D3C" w:rsidP="00554D1C">
      <w:pPr>
        <w:pStyle w:val="NumberedHeading"/>
        <w:numPr>
          <w:ilvl w:val="0"/>
          <w:numId w:val="0"/>
        </w:numPr>
        <w:tabs>
          <w:tab w:val="left" w:pos="4008"/>
        </w:tabs>
        <w:ind w:left="426" w:right="283"/>
      </w:pPr>
    </w:p>
    <w:sectPr w:rsidR="00562D3C" w:rsidRPr="00A26D50" w:rsidSect="00911C73">
      <w:footerReference w:type="default" r:id="rId52"/>
      <w:footerReference w:type="first" r:id="rId53"/>
      <w:pgSz w:w="16839" w:h="11907" w:orient="landscape" w:code="9"/>
      <w:pgMar w:top="709" w:right="709" w:bottom="709" w:left="709" w:header="709"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7F87" w14:textId="77777777" w:rsidR="00270EA1" w:rsidRDefault="00270EA1" w:rsidP="00405AB9">
      <w:r>
        <w:separator/>
      </w:r>
    </w:p>
    <w:p w14:paraId="649718F0" w14:textId="77777777" w:rsidR="00270EA1" w:rsidRDefault="00270EA1"/>
  </w:endnote>
  <w:endnote w:type="continuationSeparator" w:id="0">
    <w:p w14:paraId="2C488EC3" w14:textId="77777777" w:rsidR="00270EA1" w:rsidRDefault="00270EA1" w:rsidP="00405AB9">
      <w:r>
        <w:continuationSeparator/>
      </w:r>
    </w:p>
    <w:p w14:paraId="76999A84" w14:textId="77777777" w:rsidR="00270EA1" w:rsidRDefault="00270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panose1 w:val="02000504020000020004"/>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172624"/>
      <w:docPartObj>
        <w:docPartGallery w:val="Page Numbers (Bottom of Page)"/>
        <w:docPartUnique/>
      </w:docPartObj>
    </w:sdtPr>
    <w:sdtEndPr/>
    <w:sdtContent>
      <w:tbl>
        <w:tblPr>
          <w:tblStyle w:val="TableGrid"/>
          <w:tblW w:w="982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8358"/>
        </w:tblGrid>
        <w:tr w:rsidR="00B6195A" w14:paraId="479D6352" w14:textId="77777777" w:rsidTr="00676B11">
          <w:tc>
            <w:tcPr>
              <w:tcW w:w="1462" w:type="dxa"/>
            </w:tcPr>
            <w:p w14:paraId="75A53F72" w14:textId="19C4AFB8" w:rsidR="00B6195A" w:rsidRPr="00B6195A" w:rsidRDefault="00B6195A" w:rsidP="00B6195A">
              <w:pPr>
                <w:pStyle w:val="Footer"/>
                <w:jc w:val="left"/>
                <w:rPr>
                  <w:sz w:val="18"/>
                  <w:szCs w:val="18"/>
                </w:rPr>
              </w:pPr>
              <w:r w:rsidRPr="004A4447">
                <w:rPr>
                  <w:b/>
                  <w:bCs/>
                  <w:sz w:val="18"/>
                  <w:szCs w:val="18"/>
                </w:rPr>
                <w:fldChar w:fldCharType="begin"/>
              </w:r>
              <w:r w:rsidRPr="004A4447">
                <w:rPr>
                  <w:b/>
                  <w:bCs/>
                  <w:sz w:val="18"/>
                  <w:szCs w:val="18"/>
                </w:rPr>
                <w:instrText xml:space="preserve"> PAGE </w:instrText>
              </w:r>
              <w:r w:rsidRPr="004A4447">
                <w:rPr>
                  <w:b/>
                  <w:bCs/>
                  <w:sz w:val="18"/>
                  <w:szCs w:val="18"/>
                </w:rPr>
                <w:fldChar w:fldCharType="separate"/>
              </w:r>
              <w:r w:rsidR="00BD49E3">
                <w:rPr>
                  <w:b/>
                  <w:bCs/>
                  <w:noProof/>
                  <w:sz w:val="18"/>
                  <w:szCs w:val="18"/>
                </w:rPr>
                <w:t>2</w:t>
              </w:r>
              <w:r w:rsidRPr="004A4447">
                <w:rPr>
                  <w:b/>
                  <w:bCs/>
                  <w:sz w:val="18"/>
                  <w:szCs w:val="18"/>
                </w:rPr>
                <w:fldChar w:fldCharType="end"/>
              </w:r>
              <w:r w:rsidRPr="004A4447">
                <w:rPr>
                  <w:sz w:val="18"/>
                  <w:szCs w:val="18"/>
                </w:rPr>
                <w:t xml:space="preserve"> of </w:t>
              </w:r>
              <w:r w:rsidRPr="004A4447">
                <w:rPr>
                  <w:b/>
                  <w:bCs/>
                  <w:sz w:val="18"/>
                  <w:szCs w:val="18"/>
                </w:rPr>
                <w:fldChar w:fldCharType="begin"/>
              </w:r>
              <w:r w:rsidRPr="004A4447">
                <w:rPr>
                  <w:b/>
                  <w:bCs/>
                  <w:sz w:val="18"/>
                  <w:szCs w:val="18"/>
                </w:rPr>
                <w:instrText xml:space="preserve"> NUMPAGES  </w:instrText>
              </w:r>
              <w:r w:rsidRPr="004A4447">
                <w:rPr>
                  <w:b/>
                  <w:bCs/>
                  <w:sz w:val="18"/>
                  <w:szCs w:val="18"/>
                </w:rPr>
                <w:fldChar w:fldCharType="separate"/>
              </w:r>
              <w:r w:rsidR="00BD49E3">
                <w:rPr>
                  <w:b/>
                  <w:bCs/>
                  <w:noProof/>
                  <w:sz w:val="18"/>
                  <w:szCs w:val="18"/>
                </w:rPr>
                <w:t>2</w:t>
              </w:r>
              <w:r w:rsidRPr="004A4447">
                <w:rPr>
                  <w:b/>
                  <w:bCs/>
                  <w:sz w:val="18"/>
                  <w:szCs w:val="18"/>
                </w:rPr>
                <w:fldChar w:fldCharType="end"/>
              </w:r>
            </w:p>
          </w:tc>
          <w:tc>
            <w:tcPr>
              <w:tcW w:w="8358" w:type="dxa"/>
            </w:tcPr>
            <w:p w14:paraId="5F7FDF10" w14:textId="3B7151BF" w:rsidR="00B6195A" w:rsidRDefault="00B6195A" w:rsidP="00B6195A">
              <w:pPr>
                <w:pStyle w:val="Footer"/>
                <w:jc w:val="right"/>
                <w:rPr>
                  <w:b/>
                  <w:bCs/>
                  <w:sz w:val="18"/>
                  <w:szCs w:val="18"/>
                </w:rPr>
              </w:pPr>
            </w:p>
          </w:tc>
        </w:tr>
      </w:tbl>
      <w:p w14:paraId="7CD43649" w14:textId="1E29F01E" w:rsidR="00FE354C" w:rsidRDefault="00E475A5" w:rsidP="00B6195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996068"/>
      <w:docPartObj>
        <w:docPartGallery w:val="Page Numbers (Bottom of Page)"/>
        <w:docPartUnique/>
      </w:docPartObj>
    </w:sdtPr>
    <w:sdtEndPr>
      <w:rPr>
        <w:sz w:val="18"/>
        <w:szCs w:val="18"/>
      </w:rPr>
    </w:sdtEndPr>
    <w:sdtContent>
      <w:p w14:paraId="4E40B783" w14:textId="2C98229A" w:rsidR="00B6195A" w:rsidRPr="004A4447" w:rsidRDefault="00B6195A">
        <w:pPr>
          <w:pStyle w:val="Footer"/>
          <w:jc w:val="center"/>
          <w:rPr>
            <w:b/>
            <w:bCs/>
            <w:sz w:val="18"/>
            <w:szCs w:val="18"/>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8"/>
        </w:tblGrid>
        <w:tr w:rsidR="00B6195A" w14:paraId="4FA72EEC" w14:textId="77777777" w:rsidTr="00B6195A">
          <w:tc>
            <w:tcPr>
              <w:tcW w:w="1271" w:type="dxa"/>
            </w:tcPr>
            <w:p w14:paraId="4F45B38F" w14:textId="1D92E275" w:rsidR="00B6195A" w:rsidRPr="00B6195A" w:rsidRDefault="00B6195A" w:rsidP="00B6195A">
              <w:pPr>
                <w:pStyle w:val="Footer"/>
                <w:jc w:val="left"/>
                <w:rPr>
                  <w:sz w:val="18"/>
                  <w:szCs w:val="18"/>
                </w:rPr>
              </w:pPr>
              <w:r w:rsidRPr="004A4447">
                <w:rPr>
                  <w:b/>
                  <w:bCs/>
                  <w:sz w:val="18"/>
                  <w:szCs w:val="18"/>
                </w:rPr>
                <w:fldChar w:fldCharType="begin"/>
              </w:r>
              <w:r w:rsidRPr="004A4447">
                <w:rPr>
                  <w:b/>
                  <w:bCs/>
                  <w:sz w:val="18"/>
                  <w:szCs w:val="18"/>
                </w:rPr>
                <w:instrText xml:space="preserve"> PAGE </w:instrText>
              </w:r>
              <w:r w:rsidRPr="004A4447">
                <w:rPr>
                  <w:b/>
                  <w:bCs/>
                  <w:sz w:val="18"/>
                  <w:szCs w:val="18"/>
                </w:rPr>
                <w:fldChar w:fldCharType="separate"/>
              </w:r>
              <w:r w:rsidR="00BD49E3">
                <w:rPr>
                  <w:b/>
                  <w:bCs/>
                  <w:noProof/>
                  <w:sz w:val="18"/>
                  <w:szCs w:val="18"/>
                </w:rPr>
                <w:t>1</w:t>
              </w:r>
              <w:r w:rsidRPr="004A4447">
                <w:rPr>
                  <w:b/>
                  <w:bCs/>
                  <w:sz w:val="18"/>
                  <w:szCs w:val="18"/>
                </w:rPr>
                <w:fldChar w:fldCharType="end"/>
              </w:r>
              <w:r w:rsidRPr="004A4447">
                <w:rPr>
                  <w:sz w:val="18"/>
                  <w:szCs w:val="18"/>
                </w:rPr>
                <w:t xml:space="preserve"> of </w:t>
              </w:r>
              <w:r w:rsidRPr="004A4447">
                <w:rPr>
                  <w:b/>
                  <w:bCs/>
                  <w:sz w:val="18"/>
                  <w:szCs w:val="18"/>
                </w:rPr>
                <w:fldChar w:fldCharType="begin"/>
              </w:r>
              <w:r w:rsidRPr="004A4447">
                <w:rPr>
                  <w:b/>
                  <w:bCs/>
                  <w:sz w:val="18"/>
                  <w:szCs w:val="18"/>
                </w:rPr>
                <w:instrText xml:space="preserve"> NUMPAGES  </w:instrText>
              </w:r>
              <w:r w:rsidRPr="004A4447">
                <w:rPr>
                  <w:b/>
                  <w:bCs/>
                  <w:sz w:val="18"/>
                  <w:szCs w:val="18"/>
                </w:rPr>
                <w:fldChar w:fldCharType="separate"/>
              </w:r>
              <w:r w:rsidR="00BD49E3">
                <w:rPr>
                  <w:b/>
                  <w:bCs/>
                  <w:noProof/>
                  <w:sz w:val="18"/>
                  <w:szCs w:val="18"/>
                </w:rPr>
                <w:t>2</w:t>
              </w:r>
              <w:r w:rsidRPr="004A4447">
                <w:rPr>
                  <w:b/>
                  <w:bCs/>
                  <w:sz w:val="18"/>
                  <w:szCs w:val="18"/>
                </w:rPr>
                <w:fldChar w:fldCharType="end"/>
              </w:r>
            </w:p>
          </w:tc>
          <w:tc>
            <w:tcPr>
              <w:tcW w:w="8358" w:type="dxa"/>
            </w:tcPr>
            <w:p w14:paraId="4006603F" w14:textId="77B97825" w:rsidR="00B6195A" w:rsidRDefault="00E475A5" w:rsidP="00921997">
              <w:pPr>
                <w:pStyle w:val="Footer"/>
                <w:jc w:val="center"/>
                <w:rPr>
                  <w:b/>
                  <w:bCs/>
                  <w:sz w:val="18"/>
                  <w:szCs w:val="18"/>
                </w:rPr>
              </w:pPr>
            </w:p>
          </w:tc>
        </w:tr>
      </w:tbl>
    </w:sdtContent>
  </w:sdt>
  <w:p w14:paraId="43D4ABCD" w14:textId="046F6B61" w:rsidR="00FE354C" w:rsidRDefault="00FE354C">
    <w:pPr>
      <w:pStyle w:val="Footer"/>
    </w:pPr>
  </w:p>
  <w:p w14:paraId="79C6F28F" w14:textId="77777777" w:rsidR="00B6195A" w:rsidRDefault="00B619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843408"/>
      <w:docPartObj>
        <w:docPartGallery w:val="Page Numbers (Bottom of Page)"/>
        <w:docPartUnique/>
      </w:docPartObj>
    </w:sdtPr>
    <w:sdtEndPr/>
    <w:sdtContent>
      <w:tbl>
        <w:tblPr>
          <w:tblStyle w:val="TableGrid"/>
          <w:tblW w:w="1542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13129"/>
        </w:tblGrid>
        <w:tr w:rsidR="00192E0F" w14:paraId="171FB4E3" w14:textId="77777777" w:rsidTr="00192E0F">
          <w:trPr>
            <w:trHeight w:val="262"/>
          </w:trPr>
          <w:tc>
            <w:tcPr>
              <w:tcW w:w="2296" w:type="dxa"/>
            </w:tcPr>
            <w:p w14:paraId="6CC5F3AD" w14:textId="77777777" w:rsidR="00192E0F" w:rsidRPr="00B6195A" w:rsidRDefault="00192E0F" w:rsidP="00B6195A">
              <w:pPr>
                <w:pStyle w:val="Footer"/>
                <w:jc w:val="left"/>
                <w:rPr>
                  <w:sz w:val="18"/>
                  <w:szCs w:val="18"/>
                </w:rPr>
              </w:pPr>
              <w:r w:rsidRPr="004A4447">
                <w:rPr>
                  <w:b/>
                  <w:bCs/>
                  <w:sz w:val="18"/>
                  <w:szCs w:val="18"/>
                </w:rPr>
                <w:fldChar w:fldCharType="begin"/>
              </w:r>
              <w:r w:rsidRPr="004A4447">
                <w:rPr>
                  <w:b/>
                  <w:bCs/>
                  <w:sz w:val="18"/>
                  <w:szCs w:val="18"/>
                </w:rPr>
                <w:instrText xml:space="preserve"> PAGE </w:instrText>
              </w:r>
              <w:r w:rsidRPr="004A4447">
                <w:rPr>
                  <w:b/>
                  <w:bCs/>
                  <w:sz w:val="18"/>
                  <w:szCs w:val="18"/>
                </w:rPr>
                <w:fldChar w:fldCharType="separate"/>
              </w:r>
              <w:r>
                <w:rPr>
                  <w:b/>
                  <w:bCs/>
                  <w:noProof/>
                  <w:sz w:val="18"/>
                  <w:szCs w:val="18"/>
                </w:rPr>
                <w:t>2</w:t>
              </w:r>
              <w:r w:rsidRPr="004A4447">
                <w:rPr>
                  <w:b/>
                  <w:bCs/>
                  <w:sz w:val="18"/>
                  <w:szCs w:val="18"/>
                </w:rPr>
                <w:fldChar w:fldCharType="end"/>
              </w:r>
              <w:r w:rsidRPr="004A4447">
                <w:rPr>
                  <w:sz w:val="18"/>
                  <w:szCs w:val="18"/>
                </w:rPr>
                <w:t xml:space="preserve"> of </w:t>
              </w:r>
              <w:r w:rsidRPr="004A4447">
                <w:rPr>
                  <w:b/>
                  <w:bCs/>
                  <w:sz w:val="18"/>
                  <w:szCs w:val="18"/>
                </w:rPr>
                <w:fldChar w:fldCharType="begin"/>
              </w:r>
              <w:r w:rsidRPr="004A4447">
                <w:rPr>
                  <w:b/>
                  <w:bCs/>
                  <w:sz w:val="18"/>
                  <w:szCs w:val="18"/>
                </w:rPr>
                <w:instrText xml:space="preserve"> NUMPAGES  </w:instrText>
              </w:r>
              <w:r w:rsidRPr="004A4447">
                <w:rPr>
                  <w:b/>
                  <w:bCs/>
                  <w:sz w:val="18"/>
                  <w:szCs w:val="18"/>
                </w:rPr>
                <w:fldChar w:fldCharType="separate"/>
              </w:r>
              <w:r>
                <w:rPr>
                  <w:b/>
                  <w:bCs/>
                  <w:noProof/>
                  <w:sz w:val="18"/>
                  <w:szCs w:val="18"/>
                </w:rPr>
                <w:t>2</w:t>
              </w:r>
              <w:r w:rsidRPr="004A4447">
                <w:rPr>
                  <w:b/>
                  <w:bCs/>
                  <w:sz w:val="18"/>
                  <w:szCs w:val="18"/>
                </w:rPr>
                <w:fldChar w:fldCharType="end"/>
              </w:r>
            </w:p>
          </w:tc>
          <w:tc>
            <w:tcPr>
              <w:tcW w:w="13129" w:type="dxa"/>
            </w:tcPr>
            <w:p w14:paraId="01222CDC" w14:textId="0BA5F506" w:rsidR="00192E0F" w:rsidRDefault="00192E0F" w:rsidP="00B6195A">
              <w:pPr>
                <w:pStyle w:val="Footer"/>
                <w:jc w:val="right"/>
                <w:rPr>
                  <w:b/>
                  <w:bCs/>
                  <w:sz w:val="18"/>
                  <w:szCs w:val="18"/>
                </w:rPr>
              </w:pPr>
            </w:p>
          </w:tc>
        </w:tr>
      </w:tbl>
      <w:p w14:paraId="366B2E73" w14:textId="74309303" w:rsidR="00192E0F" w:rsidRDefault="00E475A5" w:rsidP="00B6195A">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873306"/>
      <w:docPartObj>
        <w:docPartGallery w:val="Page Numbers (Bottom of Page)"/>
        <w:docPartUnique/>
      </w:docPartObj>
    </w:sdtPr>
    <w:sdtEndPr>
      <w:rPr>
        <w:sz w:val="18"/>
        <w:szCs w:val="18"/>
      </w:rPr>
    </w:sdtEndPr>
    <w:sdtContent>
      <w:p w14:paraId="5709758C" w14:textId="77777777" w:rsidR="00C84D73" w:rsidRPr="004A4447" w:rsidRDefault="00C84D73">
        <w:pPr>
          <w:pStyle w:val="Footer"/>
          <w:jc w:val="center"/>
          <w:rPr>
            <w:b/>
            <w:bCs/>
            <w:sz w:val="18"/>
            <w:szCs w:val="18"/>
          </w:rPr>
        </w:pPr>
      </w:p>
      <w:tbl>
        <w:tblPr>
          <w:tblStyle w:val="TableGrid"/>
          <w:tblW w:w="1542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13391"/>
        </w:tblGrid>
        <w:tr w:rsidR="00C84D73" w14:paraId="01031263" w14:textId="77777777" w:rsidTr="00192E0F">
          <w:trPr>
            <w:trHeight w:val="288"/>
          </w:trPr>
          <w:tc>
            <w:tcPr>
              <w:tcW w:w="2036" w:type="dxa"/>
            </w:tcPr>
            <w:p w14:paraId="20EF4F8E" w14:textId="77777777" w:rsidR="00C84D73" w:rsidRPr="00B6195A" w:rsidRDefault="00C84D73" w:rsidP="00B6195A">
              <w:pPr>
                <w:pStyle w:val="Footer"/>
                <w:jc w:val="left"/>
                <w:rPr>
                  <w:sz w:val="18"/>
                  <w:szCs w:val="18"/>
                </w:rPr>
              </w:pPr>
              <w:r w:rsidRPr="004A4447">
                <w:rPr>
                  <w:b/>
                  <w:bCs/>
                  <w:sz w:val="18"/>
                  <w:szCs w:val="18"/>
                </w:rPr>
                <w:fldChar w:fldCharType="begin"/>
              </w:r>
              <w:r w:rsidRPr="004A4447">
                <w:rPr>
                  <w:b/>
                  <w:bCs/>
                  <w:sz w:val="18"/>
                  <w:szCs w:val="18"/>
                </w:rPr>
                <w:instrText xml:space="preserve"> PAGE </w:instrText>
              </w:r>
              <w:r w:rsidRPr="004A4447">
                <w:rPr>
                  <w:b/>
                  <w:bCs/>
                  <w:sz w:val="18"/>
                  <w:szCs w:val="18"/>
                </w:rPr>
                <w:fldChar w:fldCharType="separate"/>
              </w:r>
              <w:r>
                <w:rPr>
                  <w:b/>
                  <w:bCs/>
                  <w:noProof/>
                  <w:sz w:val="18"/>
                  <w:szCs w:val="18"/>
                </w:rPr>
                <w:t>1</w:t>
              </w:r>
              <w:r w:rsidRPr="004A4447">
                <w:rPr>
                  <w:b/>
                  <w:bCs/>
                  <w:sz w:val="18"/>
                  <w:szCs w:val="18"/>
                </w:rPr>
                <w:fldChar w:fldCharType="end"/>
              </w:r>
              <w:r w:rsidRPr="004A4447">
                <w:rPr>
                  <w:sz w:val="18"/>
                  <w:szCs w:val="18"/>
                </w:rPr>
                <w:t xml:space="preserve"> of </w:t>
              </w:r>
              <w:r w:rsidRPr="004A4447">
                <w:rPr>
                  <w:b/>
                  <w:bCs/>
                  <w:sz w:val="18"/>
                  <w:szCs w:val="18"/>
                </w:rPr>
                <w:fldChar w:fldCharType="begin"/>
              </w:r>
              <w:r w:rsidRPr="004A4447">
                <w:rPr>
                  <w:b/>
                  <w:bCs/>
                  <w:sz w:val="18"/>
                  <w:szCs w:val="18"/>
                </w:rPr>
                <w:instrText xml:space="preserve"> NUMPAGES  </w:instrText>
              </w:r>
              <w:r w:rsidRPr="004A4447">
                <w:rPr>
                  <w:b/>
                  <w:bCs/>
                  <w:sz w:val="18"/>
                  <w:szCs w:val="18"/>
                </w:rPr>
                <w:fldChar w:fldCharType="separate"/>
              </w:r>
              <w:r>
                <w:rPr>
                  <w:b/>
                  <w:bCs/>
                  <w:noProof/>
                  <w:sz w:val="18"/>
                  <w:szCs w:val="18"/>
                </w:rPr>
                <w:t>2</w:t>
              </w:r>
              <w:r w:rsidRPr="004A4447">
                <w:rPr>
                  <w:b/>
                  <w:bCs/>
                  <w:sz w:val="18"/>
                  <w:szCs w:val="18"/>
                </w:rPr>
                <w:fldChar w:fldCharType="end"/>
              </w:r>
            </w:p>
          </w:tc>
          <w:tc>
            <w:tcPr>
              <w:tcW w:w="13391" w:type="dxa"/>
            </w:tcPr>
            <w:p w14:paraId="17CBD04F" w14:textId="4480C95F" w:rsidR="00C84D73" w:rsidRDefault="00E475A5" w:rsidP="00B6195A">
              <w:pPr>
                <w:pStyle w:val="Footer"/>
                <w:jc w:val="right"/>
                <w:rPr>
                  <w:b/>
                  <w:bCs/>
                  <w:sz w:val="18"/>
                  <w:szCs w:val="18"/>
                </w:rPr>
              </w:pPr>
            </w:p>
          </w:tc>
        </w:tr>
      </w:tbl>
    </w:sdtContent>
  </w:sdt>
  <w:p w14:paraId="6DE50F78" w14:textId="77777777" w:rsidR="00C84D73" w:rsidRDefault="00C84D73">
    <w:pPr>
      <w:pStyle w:val="Footer"/>
    </w:pPr>
  </w:p>
  <w:p w14:paraId="078F4E95" w14:textId="77777777" w:rsidR="00C84D73" w:rsidRDefault="00C84D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BA939" w14:textId="77777777" w:rsidR="00270EA1" w:rsidRDefault="00270EA1" w:rsidP="00405AB9">
      <w:r>
        <w:separator/>
      </w:r>
    </w:p>
    <w:p w14:paraId="4897CC51" w14:textId="77777777" w:rsidR="00270EA1" w:rsidRDefault="00270EA1"/>
  </w:footnote>
  <w:footnote w:type="continuationSeparator" w:id="0">
    <w:p w14:paraId="706F75BF" w14:textId="77777777" w:rsidR="00270EA1" w:rsidRDefault="00270EA1" w:rsidP="00405AB9">
      <w:r>
        <w:continuationSeparator/>
      </w:r>
    </w:p>
    <w:p w14:paraId="7F0522D6" w14:textId="77777777" w:rsidR="00270EA1" w:rsidRDefault="00270EA1"/>
  </w:footnote>
  <w:footnote w:id="1">
    <w:p w14:paraId="3E577003" w14:textId="23EC79ED" w:rsidR="00B678E3" w:rsidRPr="00F60E89" w:rsidRDefault="00B678E3" w:rsidP="00333106">
      <w:pPr>
        <w:pStyle w:val="FootnoteText"/>
        <w:rPr>
          <w:sz w:val="18"/>
          <w:szCs w:val="18"/>
          <w:lang w:val="en-US"/>
        </w:rPr>
      </w:pPr>
      <w:r w:rsidRPr="00F60E89">
        <w:rPr>
          <w:rStyle w:val="FootnoteReference"/>
          <w:sz w:val="18"/>
          <w:szCs w:val="18"/>
        </w:rPr>
        <w:footnoteRef/>
      </w:r>
      <w:r w:rsidRPr="00F60E89">
        <w:rPr>
          <w:sz w:val="18"/>
          <w:szCs w:val="18"/>
        </w:rPr>
        <w:t xml:space="preserve"> </w:t>
      </w:r>
      <w:r w:rsidRPr="00F60E89">
        <w:rPr>
          <w:sz w:val="18"/>
          <w:szCs w:val="18"/>
          <w:lang w:val="en-US"/>
        </w:rPr>
        <w:t xml:space="preserve">It is only through the voices of victim-survivors willing to come forward and talk about what has happened that the University is able to access this information. We thank each individual who was able to speak out whether through named or anonymous </w:t>
      </w:r>
      <w:r w:rsidR="00E16D5A">
        <w:rPr>
          <w:sz w:val="18"/>
          <w:szCs w:val="18"/>
          <w:lang w:val="en-US"/>
        </w:rPr>
        <w:t>disclosures or reports</w:t>
      </w:r>
      <w:r w:rsidRPr="00F60E89">
        <w:rPr>
          <w:sz w:val="18"/>
          <w:szCs w:val="18"/>
          <w:lang w:val="en-US"/>
        </w:rPr>
        <w:t xml:space="preserve">. We hope this work will continue to break down barriers for individuals to come forward and that the University response will help prevent future incidents whilst helping victim-survivors access support. </w:t>
      </w:r>
      <w:r w:rsidR="00F82E0C" w:rsidRPr="00F60E89">
        <w:rPr>
          <w:sz w:val="18"/>
          <w:szCs w:val="18"/>
          <w:lang w:val="en-US"/>
        </w:rPr>
        <w:t>We also thank the employees</w:t>
      </w:r>
      <w:r w:rsidR="00333106" w:rsidRPr="00F60E89">
        <w:rPr>
          <w:sz w:val="18"/>
          <w:szCs w:val="18"/>
          <w:lang w:val="en-US"/>
        </w:rPr>
        <w:t xml:space="preserve"> who received disclosures and then </w:t>
      </w:r>
      <w:r w:rsidR="00F82E0C" w:rsidRPr="00F60E89">
        <w:rPr>
          <w:sz w:val="18"/>
          <w:szCs w:val="18"/>
          <w:lang w:val="en-US"/>
        </w:rPr>
        <w:t xml:space="preserve">provided </w:t>
      </w:r>
      <w:r w:rsidR="00F82E0C" w:rsidRPr="00E16D5A">
        <w:rPr>
          <w:i/>
          <w:iCs/>
          <w:sz w:val="18"/>
          <w:szCs w:val="18"/>
          <w:lang w:val="en-US"/>
        </w:rPr>
        <w:t>SMV Disclosure Recording Forms</w:t>
      </w:r>
      <w:r w:rsidR="00F82E0C" w:rsidRPr="00F60E89">
        <w:rPr>
          <w:sz w:val="18"/>
          <w:szCs w:val="18"/>
          <w:lang w:val="en-US"/>
        </w:rPr>
        <w:t xml:space="preserve"> to the SMV case managers within the Student Conduct Office, so this data can be collated and analysed. </w:t>
      </w:r>
    </w:p>
  </w:footnote>
  <w:footnote w:id="2">
    <w:p w14:paraId="270D5FB9" w14:textId="68071E9E" w:rsidR="00337D89" w:rsidRPr="00860931" w:rsidRDefault="00337D89" w:rsidP="00337D89">
      <w:pPr>
        <w:pStyle w:val="FootnoteText"/>
      </w:pPr>
      <w:r w:rsidRPr="00860931">
        <w:rPr>
          <w:rStyle w:val="FootnoteReference"/>
          <w:sz w:val="18"/>
          <w:szCs w:val="18"/>
        </w:rPr>
        <w:footnoteRef/>
      </w:r>
      <w:r w:rsidRPr="00860931">
        <w:rPr>
          <w:sz w:val="18"/>
          <w:szCs w:val="18"/>
        </w:rPr>
        <w:t xml:space="preserve"> See Humphreys &amp; Towl, 2020, pp 111-117 for a list of barriers to disclosures and solutions to address these.</w:t>
      </w:r>
    </w:p>
  </w:footnote>
  <w:footnote w:id="3">
    <w:p w14:paraId="3D2ABD20" w14:textId="1FB290BE" w:rsidR="00CC1B4D" w:rsidRPr="00592EFA" w:rsidRDefault="00CC1B4D" w:rsidP="00CC1B4D">
      <w:pPr>
        <w:pStyle w:val="FootnoteText"/>
        <w:rPr>
          <w:sz w:val="18"/>
          <w:szCs w:val="18"/>
          <w:highlight w:val="green"/>
        </w:rPr>
      </w:pPr>
      <w:r w:rsidRPr="00860931">
        <w:rPr>
          <w:rStyle w:val="FootnoteReference"/>
          <w:sz w:val="18"/>
          <w:szCs w:val="18"/>
        </w:rPr>
        <w:footnoteRef/>
      </w:r>
      <w:r w:rsidRPr="00860931">
        <w:rPr>
          <w:sz w:val="18"/>
          <w:szCs w:val="18"/>
        </w:rPr>
        <w:t xml:space="preserve"> The </w:t>
      </w:r>
      <w:r w:rsidR="00337D89" w:rsidRPr="00860931">
        <w:rPr>
          <w:i/>
          <w:iCs/>
          <w:sz w:val="18"/>
          <w:szCs w:val="18"/>
        </w:rPr>
        <w:t>SMV</w:t>
      </w:r>
      <w:r w:rsidRPr="00860931">
        <w:rPr>
          <w:i/>
          <w:iCs/>
          <w:sz w:val="18"/>
          <w:szCs w:val="18"/>
        </w:rPr>
        <w:t xml:space="preserve"> Disclosure Recording Form </w:t>
      </w:r>
      <w:r w:rsidRPr="00860931">
        <w:rPr>
          <w:sz w:val="18"/>
          <w:szCs w:val="18"/>
        </w:rPr>
        <w:t xml:space="preserve">is available on the </w:t>
      </w:r>
      <w:hyperlink r:id="rId1" w:history="1">
        <w:r w:rsidRPr="00860931">
          <w:rPr>
            <w:rStyle w:val="Hyperlink"/>
            <w:sz w:val="18"/>
            <w:szCs w:val="18"/>
          </w:rPr>
          <w:t>SMV Prevention &amp; Response Resources Teams Channel</w:t>
        </w:r>
      </w:hyperlink>
      <w:r w:rsidRPr="00860931">
        <w:rPr>
          <w:sz w:val="18"/>
          <w:szCs w:val="18"/>
        </w:rPr>
        <w:t xml:space="preserve">, or </w:t>
      </w:r>
      <w:r w:rsidR="00592EFA" w:rsidRPr="00860931">
        <w:rPr>
          <w:sz w:val="18"/>
          <w:szCs w:val="18"/>
        </w:rPr>
        <w:t xml:space="preserve">by </w:t>
      </w:r>
      <w:r w:rsidRPr="00860931">
        <w:rPr>
          <w:sz w:val="18"/>
          <w:szCs w:val="18"/>
        </w:rPr>
        <w:t>requesting one from the Student Conduct Office (</w:t>
      </w:r>
      <w:hyperlink r:id="rId2" w:history="1">
        <w:r w:rsidRPr="00860931">
          <w:rPr>
            <w:rStyle w:val="Hyperlink"/>
            <w:sz w:val="18"/>
            <w:szCs w:val="18"/>
          </w:rPr>
          <w:t>student.cases@durham.ac.uk</w:t>
        </w:r>
      </w:hyperlink>
      <w:r w:rsidRPr="00860931">
        <w:rPr>
          <w:sz w:val="18"/>
          <w:szCs w:val="18"/>
        </w:rPr>
        <w:t>)</w:t>
      </w:r>
      <w:r w:rsidR="00A26D50" w:rsidRPr="00860931">
        <w:rPr>
          <w:sz w:val="18"/>
          <w:szCs w:val="18"/>
        </w:rPr>
        <w:t xml:space="preserve">. </w:t>
      </w:r>
      <w:r w:rsidRPr="00860931">
        <w:rPr>
          <w:sz w:val="18"/>
          <w:szCs w:val="18"/>
        </w:rPr>
        <w:t xml:space="preserve">It is important to note this form can be submitted by keeping the Reporting and/or Responding Party anonymous. All staff have access to </w:t>
      </w:r>
      <w:r w:rsidRPr="005E2528">
        <w:rPr>
          <w:i/>
          <w:iCs/>
          <w:sz w:val="18"/>
          <w:szCs w:val="18"/>
        </w:rPr>
        <w:t xml:space="preserve">SMV: Awareness and Disclosure Training (Level 1) </w:t>
      </w:r>
      <w:r w:rsidRPr="00860931">
        <w:rPr>
          <w:sz w:val="18"/>
          <w:szCs w:val="18"/>
        </w:rPr>
        <w:t>where how to respond to a disclosure and how to use the form is taught.</w:t>
      </w:r>
      <w:r>
        <w:rPr>
          <w:sz w:val="18"/>
          <w:szCs w:val="18"/>
        </w:rPr>
        <w:t xml:space="preserve"> </w:t>
      </w:r>
    </w:p>
  </w:footnote>
  <w:footnote w:id="4">
    <w:p w14:paraId="5F820FEB" w14:textId="13B77173" w:rsidR="007762A2" w:rsidRDefault="007762A2" w:rsidP="007762A2">
      <w:pPr>
        <w:pStyle w:val="FootnoteText"/>
      </w:pPr>
      <w:r w:rsidRPr="007762A2">
        <w:rPr>
          <w:rStyle w:val="FootnoteReference"/>
          <w:sz w:val="18"/>
          <w:szCs w:val="18"/>
        </w:rPr>
        <w:footnoteRef/>
      </w:r>
      <w:r w:rsidRPr="007762A2">
        <w:rPr>
          <w:sz w:val="18"/>
          <w:szCs w:val="18"/>
        </w:rPr>
        <w:t xml:space="preserve"> </w:t>
      </w:r>
      <w:r w:rsidR="00885CDB">
        <w:rPr>
          <w:sz w:val="18"/>
          <w:szCs w:val="18"/>
        </w:rPr>
        <w:t xml:space="preserve">See 1.4 of the </w:t>
      </w:r>
      <w:hyperlink r:id="rId3" w:history="1">
        <w:r w:rsidR="00885CDB" w:rsidRPr="00885CDB">
          <w:rPr>
            <w:color w:val="0000FF"/>
            <w:sz w:val="18"/>
            <w:u w:val="single"/>
          </w:rPr>
          <w:t>Procedure for managing disclosures or reports involving allegations of staff sexual violence and misconduct (sharepoint.com)</w:t>
        </w:r>
      </w:hyperlink>
    </w:p>
  </w:footnote>
  <w:footnote w:id="5">
    <w:p w14:paraId="14C78999" w14:textId="2CE5F46A" w:rsidR="00FC34E5" w:rsidRDefault="00FC34E5">
      <w:pPr>
        <w:pStyle w:val="FootnoteText"/>
      </w:pPr>
      <w:r>
        <w:rPr>
          <w:rStyle w:val="FootnoteReference"/>
        </w:rPr>
        <w:footnoteRef/>
      </w:r>
      <w:r>
        <w:t xml:space="preserve"> </w:t>
      </w:r>
      <w:r w:rsidRPr="00FC34E5">
        <w:rPr>
          <w:sz w:val="18"/>
          <w:szCs w:val="18"/>
        </w:rPr>
        <w:t xml:space="preserve">See 2.2 and 2.5 of the </w:t>
      </w:r>
      <w:hyperlink r:id="rId4" w:history="1">
        <w:r w:rsidRPr="00FC34E5">
          <w:rPr>
            <w:rStyle w:val="Hyperlink"/>
            <w:sz w:val="18"/>
            <w:szCs w:val="18"/>
          </w:rPr>
          <w:t>Close Personal Relationships between Staff &amp; Students (sharepoint.com)</w:t>
        </w:r>
      </w:hyperlink>
    </w:p>
  </w:footnote>
  <w:footnote w:id="6">
    <w:p w14:paraId="6575001C" w14:textId="77777777" w:rsidR="00107231" w:rsidRDefault="00107231" w:rsidP="00107231">
      <w:pPr>
        <w:pStyle w:val="FootnoteText"/>
      </w:pPr>
      <w:r w:rsidRPr="00990003">
        <w:rPr>
          <w:rStyle w:val="FootnoteReference"/>
          <w:sz w:val="18"/>
          <w:szCs w:val="18"/>
        </w:rPr>
        <w:footnoteRef/>
      </w:r>
      <w:r w:rsidRPr="00990003">
        <w:rPr>
          <w:sz w:val="18"/>
          <w:szCs w:val="18"/>
        </w:rPr>
        <w:t xml:space="preserve"> See Prince and Franklin-Corben (2023) for a detailed discussion of the importance of specialist case managers for SMV cases.</w:t>
      </w:r>
    </w:p>
  </w:footnote>
  <w:footnote w:id="7">
    <w:p w14:paraId="02413996" w14:textId="0E2C90CD" w:rsidR="007E704E" w:rsidRPr="00E9667C" w:rsidRDefault="007E704E" w:rsidP="007E704E">
      <w:pPr>
        <w:pStyle w:val="FootnoteText"/>
        <w:spacing w:after="60"/>
        <w:jc w:val="left"/>
        <w:rPr>
          <w:sz w:val="18"/>
          <w:szCs w:val="18"/>
        </w:rPr>
      </w:pPr>
      <w:r w:rsidRPr="00E9667C">
        <w:rPr>
          <w:rStyle w:val="FootnoteReference"/>
          <w:sz w:val="18"/>
          <w:szCs w:val="18"/>
        </w:rPr>
        <w:footnoteRef/>
      </w:r>
      <w:r w:rsidRPr="00E9667C">
        <w:rPr>
          <w:sz w:val="18"/>
          <w:szCs w:val="18"/>
        </w:rPr>
        <w:t xml:space="preserve"> To access the </w:t>
      </w:r>
      <w:r w:rsidRPr="00E9667C">
        <w:rPr>
          <w:i/>
          <w:iCs/>
          <w:sz w:val="18"/>
          <w:szCs w:val="18"/>
        </w:rPr>
        <w:t>Sexual Misconduct and Violence Policy</w:t>
      </w:r>
      <w:r w:rsidRPr="00E9667C">
        <w:rPr>
          <w:sz w:val="18"/>
          <w:szCs w:val="18"/>
        </w:rPr>
        <w:t xml:space="preserve"> and related procedures, please see: </w:t>
      </w:r>
      <w:hyperlink r:id="rId5" w:history="1">
        <w:r w:rsidRPr="00E9667C">
          <w:rPr>
            <w:rStyle w:val="Hyperlink"/>
            <w:sz w:val="18"/>
            <w:szCs w:val="18"/>
          </w:rPr>
          <w:t>www.dur.ac.uk/sexualviolence/policies</w:t>
        </w:r>
      </w:hyperlink>
      <w:r w:rsidRPr="00E9667C">
        <w:rPr>
          <w:sz w:val="18"/>
          <w:szCs w:val="18"/>
        </w:rPr>
        <w:t xml:space="preserve"> </w:t>
      </w:r>
    </w:p>
  </w:footnote>
  <w:footnote w:id="8">
    <w:p w14:paraId="1B4ADE8D" w14:textId="77777777" w:rsidR="007E704E" w:rsidRPr="005C6A39" w:rsidRDefault="007E704E" w:rsidP="007E704E">
      <w:pPr>
        <w:pStyle w:val="FootnoteText"/>
        <w:spacing w:after="60"/>
        <w:jc w:val="left"/>
        <w:rPr>
          <w:sz w:val="18"/>
          <w:szCs w:val="18"/>
          <w:lang w:val="en-US"/>
        </w:rPr>
      </w:pPr>
      <w:r w:rsidRPr="00E9667C">
        <w:rPr>
          <w:rStyle w:val="FootnoteReference"/>
          <w:sz w:val="18"/>
          <w:szCs w:val="18"/>
        </w:rPr>
        <w:footnoteRef/>
      </w:r>
      <w:r w:rsidRPr="00E9667C">
        <w:rPr>
          <w:sz w:val="18"/>
          <w:szCs w:val="18"/>
        </w:rPr>
        <w:t xml:space="preserve"> Under section 40 of the Freedom of Information Act 2000 (personal data) the University cannot release information that may identify individuals. Therefore, figures which total fewer than five will be stated as ‘&lt;5’ / less than 5.</w:t>
      </w:r>
      <w:r w:rsidRPr="005C6A39">
        <w:rPr>
          <w:sz w:val="18"/>
          <w:szCs w:val="18"/>
        </w:rPr>
        <w:t xml:space="preserve">  </w:t>
      </w:r>
    </w:p>
  </w:footnote>
  <w:footnote w:id="9">
    <w:p w14:paraId="2D863302" w14:textId="77777777" w:rsidR="00E04BC6" w:rsidRDefault="00E04BC6" w:rsidP="00E04BC6">
      <w:pPr>
        <w:pStyle w:val="FootnoteText"/>
      </w:pPr>
      <w:r w:rsidRPr="00FC1B34">
        <w:rPr>
          <w:rStyle w:val="FootnoteReference"/>
          <w:sz w:val="18"/>
          <w:szCs w:val="18"/>
        </w:rPr>
        <w:footnoteRef/>
      </w:r>
      <w:r w:rsidRPr="00FC1B34">
        <w:rPr>
          <w:sz w:val="18"/>
          <w:szCs w:val="18"/>
        </w:rPr>
        <w:t xml:space="preserve"> Clarissa DiSantis and Prof Graham Towl are members of the Office for Students (OfS) prevalence survey expert advisory group.</w:t>
      </w:r>
    </w:p>
  </w:footnote>
  <w:footnote w:id="10">
    <w:p w14:paraId="04ADFB7C" w14:textId="76E2BC13" w:rsidR="004056E6" w:rsidRDefault="004056E6" w:rsidP="004056E6">
      <w:pPr>
        <w:pStyle w:val="FootnoteText"/>
      </w:pPr>
      <w:r w:rsidRPr="00FC1B34">
        <w:rPr>
          <w:rStyle w:val="FootnoteReference"/>
          <w:sz w:val="18"/>
          <w:szCs w:val="18"/>
        </w:rPr>
        <w:footnoteRef/>
      </w:r>
      <w:r w:rsidRPr="00FC1B34">
        <w:rPr>
          <w:sz w:val="18"/>
          <w:szCs w:val="18"/>
        </w:rPr>
        <w:t xml:space="preserve"> Most Higher Education Institutions offer a free-text section in their anonymous reporting </w:t>
      </w:r>
      <w:r>
        <w:rPr>
          <w:sz w:val="18"/>
          <w:szCs w:val="18"/>
        </w:rPr>
        <w:t>form on</w:t>
      </w:r>
      <w:r w:rsidRPr="00FC1B34">
        <w:rPr>
          <w:sz w:val="18"/>
          <w:szCs w:val="18"/>
        </w:rPr>
        <w:t xml:space="preserve"> the Report + Support tool</w:t>
      </w:r>
      <w:r>
        <w:rPr>
          <w:sz w:val="18"/>
          <w:szCs w:val="18"/>
        </w:rPr>
        <w:t xml:space="preserve">, e.g. see </w:t>
      </w:r>
      <w:r w:rsidRPr="00FC1B34">
        <w:rPr>
          <w:sz w:val="18"/>
          <w:szCs w:val="18"/>
        </w:rPr>
        <w:t>the University of York’s experience of using free-</w:t>
      </w:r>
      <w:r w:rsidRPr="00003EFA">
        <w:rPr>
          <w:sz w:val="18"/>
          <w:szCs w:val="18"/>
        </w:rPr>
        <w:t>text boxes</w:t>
      </w:r>
      <w:r w:rsidR="00003EFA" w:rsidRPr="00003EFA">
        <w:rPr>
          <w:sz w:val="18"/>
          <w:szCs w:val="18"/>
        </w:rPr>
        <w:t xml:space="preserve"> (Maher,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946C" w14:textId="580D0A38" w:rsidR="006C0FB3" w:rsidRPr="00261BE0" w:rsidRDefault="00F37BF3" w:rsidP="00261BE0">
    <w:pPr>
      <w:pStyle w:val="Header"/>
      <w:jc w:val="right"/>
      <w:rPr>
        <w:b/>
        <w:sz w:val="18"/>
        <w:szCs w:val="20"/>
      </w:rPr>
    </w:pPr>
    <w:r>
      <w:rPr>
        <w:b/>
        <w:sz w:val="18"/>
        <w:szCs w:val="20"/>
      </w:rPr>
      <w:t>OPEN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88A1" w14:textId="4A132260" w:rsidR="00FE354C" w:rsidRDefault="00E719FD" w:rsidP="00C141B7">
    <w:pPr>
      <w:pStyle w:val="Header"/>
      <w:jc w:val="right"/>
      <w:rPr>
        <w:b/>
        <w:sz w:val="18"/>
        <w:szCs w:val="20"/>
      </w:rPr>
    </w:pPr>
    <w:r>
      <w:rPr>
        <w:b/>
        <w:sz w:val="18"/>
        <w:szCs w:val="20"/>
      </w:rPr>
      <w:t>OPEN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1C7"/>
    <w:multiLevelType w:val="hybridMultilevel"/>
    <w:tmpl w:val="1770842E"/>
    <w:lvl w:ilvl="0" w:tplc="E9A048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07ACF"/>
    <w:multiLevelType w:val="hybridMultilevel"/>
    <w:tmpl w:val="58D69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91D29"/>
    <w:multiLevelType w:val="hybridMultilevel"/>
    <w:tmpl w:val="B142B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E6FC8"/>
    <w:multiLevelType w:val="hybridMultilevel"/>
    <w:tmpl w:val="392EE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BA64B6"/>
    <w:multiLevelType w:val="hybridMultilevel"/>
    <w:tmpl w:val="D19CED36"/>
    <w:lvl w:ilvl="0" w:tplc="E7E4A602">
      <w:start w:val="1"/>
      <w:numFmt w:val="decimal"/>
      <w:lvlText w:val="%1."/>
      <w:lvlJc w:val="left"/>
      <w:pPr>
        <w:tabs>
          <w:tab w:val="num" w:pos="720"/>
        </w:tabs>
        <w:ind w:left="720" w:hanging="360"/>
      </w:pPr>
    </w:lvl>
    <w:lvl w:ilvl="1" w:tplc="25A23916" w:tentative="1">
      <w:start w:val="1"/>
      <w:numFmt w:val="decimal"/>
      <w:lvlText w:val="%2."/>
      <w:lvlJc w:val="left"/>
      <w:pPr>
        <w:tabs>
          <w:tab w:val="num" w:pos="1440"/>
        </w:tabs>
        <w:ind w:left="1440" w:hanging="360"/>
      </w:pPr>
    </w:lvl>
    <w:lvl w:ilvl="2" w:tplc="7022293E" w:tentative="1">
      <w:start w:val="1"/>
      <w:numFmt w:val="decimal"/>
      <w:lvlText w:val="%3."/>
      <w:lvlJc w:val="left"/>
      <w:pPr>
        <w:tabs>
          <w:tab w:val="num" w:pos="2160"/>
        </w:tabs>
        <w:ind w:left="2160" w:hanging="360"/>
      </w:pPr>
    </w:lvl>
    <w:lvl w:ilvl="3" w:tplc="84F42E54" w:tentative="1">
      <w:start w:val="1"/>
      <w:numFmt w:val="decimal"/>
      <w:lvlText w:val="%4."/>
      <w:lvlJc w:val="left"/>
      <w:pPr>
        <w:tabs>
          <w:tab w:val="num" w:pos="2880"/>
        </w:tabs>
        <w:ind w:left="2880" w:hanging="360"/>
      </w:pPr>
    </w:lvl>
    <w:lvl w:ilvl="4" w:tplc="BDCCAF06" w:tentative="1">
      <w:start w:val="1"/>
      <w:numFmt w:val="decimal"/>
      <w:lvlText w:val="%5."/>
      <w:lvlJc w:val="left"/>
      <w:pPr>
        <w:tabs>
          <w:tab w:val="num" w:pos="3600"/>
        </w:tabs>
        <w:ind w:left="3600" w:hanging="360"/>
      </w:pPr>
    </w:lvl>
    <w:lvl w:ilvl="5" w:tplc="26CA5AB4" w:tentative="1">
      <w:start w:val="1"/>
      <w:numFmt w:val="decimal"/>
      <w:lvlText w:val="%6."/>
      <w:lvlJc w:val="left"/>
      <w:pPr>
        <w:tabs>
          <w:tab w:val="num" w:pos="4320"/>
        </w:tabs>
        <w:ind w:left="4320" w:hanging="360"/>
      </w:pPr>
    </w:lvl>
    <w:lvl w:ilvl="6" w:tplc="3BA467F4" w:tentative="1">
      <w:start w:val="1"/>
      <w:numFmt w:val="decimal"/>
      <w:lvlText w:val="%7."/>
      <w:lvlJc w:val="left"/>
      <w:pPr>
        <w:tabs>
          <w:tab w:val="num" w:pos="5040"/>
        </w:tabs>
        <w:ind w:left="5040" w:hanging="360"/>
      </w:pPr>
    </w:lvl>
    <w:lvl w:ilvl="7" w:tplc="5B203BA0" w:tentative="1">
      <w:start w:val="1"/>
      <w:numFmt w:val="decimal"/>
      <w:lvlText w:val="%8."/>
      <w:lvlJc w:val="left"/>
      <w:pPr>
        <w:tabs>
          <w:tab w:val="num" w:pos="5760"/>
        </w:tabs>
        <w:ind w:left="5760" w:hanging="360"/>
      </w:pPr>
    </w:lvl>
    <w:lvl w:ilvl="8" w:tplc="EFD2CCEA" w:tentative="1">
      <w:start w:val="1"/>
      <w:numFmt w:val="decimal"/>
      <w:lvlText w:val="%9."/>
      <w:lvlJc w:val="left"/>
      <w:pPr>
        <w:tabs>
          <w:tab w:val="num" w:pos="6480"/>
        </w:tabs>
        <w:ind w:left="6480" w:hanging="360"/>
      </w:pPr>
    </w:lvl>
  </w:abstractNum>
  <w:abstractNum w:abstractNumId="5" w15:restartNumberingAfterBreak="0">
    <w:nsid w:val="0DE548AA"/>
    <w:multiLevelType w:val="hybridMultilevel"/>
    <w:tmpl w:val="E6283374"/>
    <w:lvl w:ilvl="0" w:tplc="4B1E393C">
      <w:start w:val="1"/>
      <w:numFmt w:val="bullet"/>
      <w:lvlText w:val="•"/>
      <w:lvlJc w:val="left"/>
      <w:pPr>
        <w:tabs>
          <w:tab w:val="num" w:pos="720"/>
        </w:tabs>
        <w:ind w:left="720" w:hanging="360"/>
      </w:pPr>
      <w:rPr>
        <w:rFonts w:ascii="Arial" w:hAnsi="Arial" w:hint="default"/>
      </w:rPr>
    </w:lvl>
    <w:lvl w:ilvl="1" w:tplc="04F45488" w:tentative="1">
      <w:start w:val="1"/>
      <w:numFmt w:val="bullet"/>
      <w:lvlText w:val="•"/>
      <w:lvlJc w:val="left"/>
      <w:pPr>
        <w:tabs>
          <w:tab w:val="num" w:pos="1440"/>
        </w:tabs>
        <w:ind w:left="1440" w:hanging="360"/>
      </w:pPr>
      <w:rPr>
        <w:rFonts w:ascii="Arial" w:hAnsi="Arial" w:hint="default"/>
      </w:rPr>
    </w:lvl>
    <w:lvl w:ilvl="2" w:tplc="7A22E18E" w:tentative="1">
      <w:start w:val="1"/>
      <w:numFmt w:val="bullet"/>
      <w:lvlText w:val="•"/>
      <w:lvlJc w:val="left"/>
      <w:pPr>
        <w:tabs>
          <w:tab w:val="num" w:pos="2160"/>
        </w:tabs>
        <w:ind w:left="2160" w:hanging="360"/>
      </w:pPr>
      <w:rPr>
        <w:rFonts w:ascii="Arial" w:hAnsi="Arial" w:hint="default"/>
      </w:rPr>
    </w:lvl>
    <w:lvl w:ilvl="3" w:tplc="86169F26" w:tentative="1">
      <w:start w:val="1"/>
      <w:numFmt w:val="bullet"/>
      <w:lvlText w:val="•"/>
      <w:lvlJc w:val="left"/>
      <w:pPr>
        <w:tabs>
          <w:tab w:val="num" w:pos="2880"/>
        </w:tabs>
        <w:ind w:left="2880" w:hanging="360"/>
      </w:pPr>
      <w:rPr>
        <w:rFonts w:ascii="Arial" w:hAnsi="Arial" w:hint="default"/>
      </w:rPr>
    </w:lvl>
    <w:lvl w:ilvl="4" w:tplc="16FC03C8" w:tentative="1">
      <w:start w:val="1"/>
      <w:numFmt w:val="bullet"/>
      <w:lvlText w:val="•"/>
      <w:lvlJc w:val="left"/>
      <w:pPr>
        <w:tabs>
          <w:tab w:val="num" w:pos="3600"/>
        </w:tabs>
        <w:ind w:left="3600" w:hanging="360"/>
      </w:pPr>
      <w:rPr>
        <w:rFonts w:ascii="Arial" w:hAnsi="Arial" w:hint="default"/>
      </w:rPr>
    </w:lvl>
    <w:lvl w:ilvl="5" w:tplc="6F9E7F68" w:tentative="1">
      <w:start w:val="1"/>
      <w:numFmt w:val="bullet"/>
      <w:lvlText w:val="•"/>
      <w:lvlJc w:val="left"/>
      <w:pPr>
        <w:tabs>
          <w:tab w:val="num" w:pos="4320"/>
        </w:tabs>
        <w:ind w:left="4320" w:hanging="360"/>
      </w:pPr>
      <w:rPr>
        <w:rFonts w:ascii="Arial" w:hAnsi="Arial" w:hint="default"/>
      </w:rPr>
    </w:lvl>
    <w:lvl w:ilvl="6" w:tplc="5F42D1BC" w:tentative="1">
      <w:start w:val="1"/>
      <w:numFmt w:val="bullet"/>
      <w:lvlText w:val="•"/>
      <w:lvlJc w:val="left"/>
      <w:pPr>
        <w:tabs>
          <w:tab w:val="num" w:pos="5040"/>
        </w:tabs>
        <w:ind w:left="5040" w:hanging="360"/>
      </w:pPr>
      <w:rPr>
        <w:rFonts w:ascii="Arial" w:hAnsi="Arial" w:hint="default"/>
      </w:rPr>
    </w:lvl>
    <w:lvl w:ilvl="7" w:tplc="BF860E38" w:tentative="1">
      <w:start w:val="1"/>
      <w:numFmt w:val="bullet"/>
      <w:lvlText w:val="•"/>
      <w:lvlJc w:val="left"/>
      <w:pPr>
        <w:tabs>
          <w:tab w:val="num" w:pos="5760"/>
        </w:tabs>
        <w:ind w:left="5760" w:hanging="360"/>
      </w:pPr>
      <w:rPr>
        <w:rFonts w:ascii="Arial" w:hAnsi="Arial" w:hint="default"/>
      </w:rPr>
    </w:lvl>
    <w:lvl w:ilvl="8" w:tplc="D3A037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6766F6"/>
    <w:multiLevelType w:val="hybridMultilevel"/>
    <w:tmpl w:val="5DC4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F34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CE2040"/>
    <w:multiLevelType w:val="hybridMultilevel"/>
    <w:tmpl w:val="C26AD686"/>
    <w:lvl w:ilvl="0" w:tplc="809A0A80">
      <w:start w:val="1"/>
      <w:numFmt w:val="bullet"/>
      <w:lvlText w:val="•"/>
      <w:lvlJc w:val="left"/>
      <w:pPr>
        <w:tabs>
          <w:tab w:val="num" w:pos="720"/>
        </w:tabs>
        <w:ind w:left="720" w:hanging="360"/>
      </w:pPr>
      <w:rPr>
        <w:rFonts w:ascii="Arial" w:hAnsi="Arial" w:hint="default"/>
      </w:rPr>
    </w:lvl>
    <w:lvl w:ilvl="1" w:tplc="15D2671A">
      <w:start w:val="1"/>
      <w:numFmt w:val="decimal"/>
      <w:lvlText w:val="%2."/>
      <w:lvlJc w:val="left"/>
      <w:pPr>
        <w:tabs>
          <w:tab w:val="num" w:pos="1440"/>
        </w:tabs>
        <w:ind w:left="1440" w:hanging="360"/>
      </w:pPr>
    </w:lvl>
    <w:lvl w:ilvl="2" w:tplc="D09CB0EE" w:tentative="1">
      <w:start w:val="1"/>
      <w:numFmt w:val="bullet"/>
      <w:lvlText w:val="•"/>
      <w:lvlJc w:val="left"/>
      <w:pPr>
        <w:tabs>
          <w:tab w:val="num" w:pos="2160"/>
        </w:tabs>
        <w:ind w:left="2160" w:hanging="360"/>
      </w:pPr>
      <w:rPr>
        <w:rFonts w:ascii="Arial" w:hAnsi="Arial" w:hint="default"/>
      </w:rPr>
    </w:lvl>
    <w:lvl w:ilvl="3" w:tplc="1902BCCC" w:tentative="1">
      <w:start w:val="1"/>
      <w:numFmt w:val="bullet"/>
      <w:lvlText w:val="•"/>
      <w:lvlJc w:val="left"/>
      <w:pPr>
        <w:tabs>
          <w:tab w:val="num" w:pos="2880"/>
        </w:tabs>
        <w:ind w:left="2880" w:hanging="360"/>
      </w:pPr>
      <w:rPr>
        <w:rFonts w:ascii="Arial" w:hAnsi="Arial" w:hint="default"/>
      </w:rPr>
    </w:lvl>
    <w:lvl w:ilvl="4" w:tplc="743A4802" w:tentative="1">
      <w:start w:val="1"/>
      <w:numFmt w:val="bullet"/>
      <w:lvlText w:val="•"/>
      <w:lvlJc w:val="left"/>
      <w:pPr>
        <w:tabs>
          <w:tab w:val="num" w:pos="3600"/>
        </w:tabs>
        <w:ind w:left="3600" w:hanging="360"/>
      </w:pPr>
      <w:rPr>
        <w:rFonts w:ascii="Arial" w:hAnsi="Arial" w:hint="default"/>
      </w:rPr>
    </w:lvl>
    <w:lvl w:ilvl="5" w:tplc="020AAF0E" w:tentative="1">
      <w:start w:val="1"/>
      <w:numFmt w:val="bullet"/>
      <w:lvlText w:val="•"/>
      <w:lvlJc w:val="left"/>
      <w:pPr>
        <w:tabs>
          <w:tab w:val="num" w:pos="4320"/>
        </w:tabs>
        <w:ind w:left="4320" w:hanging="360"/>
      </w:pPr>
      <w:rPr>
        <w:rFonts w:ascii="Arial" w:hAnsi="Arial" w:hint="default"/>
      </w:rPr>
    </w:lvl>
    <w:lvl w:ilvl="6" w:tplc="31062E1E" w:tentative="1">
      <w:start w:val="1"/>
      <w:numFmt w:val="bullet"/>
      <w:lvlText w:val="•"/>
      <w:lvlJc w:val="left"/>
      <w:pPr>
        <w:tabs>
          <w:tab w:val="num" w:pos="5040"/>
        </w:tabs>
        <w:ind w:left="5040" w:hanging="360"/>
      </w:pPr>
      <w:rPr>
        <w:rFonts w:ascii="Arial" w:hAnsi="Arial" w:hint="default"/>
      </w:rPr>
    </w:lvl>
    <w:lvl w:ilvl="7" w:tplc="B50E62D2" w:tentative="1">
      <w:start w:val="1"/>
      <w:numFmt w:val="bullet"/>
      <w:lvlText w:val="•"/>
      <w:lvlJc w:val="left"/>
      <w:pPr>
        <w:tabs>
          <w:tab w:val="num" w:pos="5760"/>
        </w:tabs>
        <w:ind w:left="5760" w:hanging="360"/>
      </w:pPr>
      <w:rPr>
        <w:rFonts w:ascii="Arial" w:hAnsi="Arial" w:hint="default"/>
      </w:rPr>
    </w:lvl>
    <w:lvl w:ilvl="8" w:tplc="988016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9A3F4B"/>
    <w:multiLevelType w:val="multilevel"/>
    <w:tmpl w:val="02C0FC80"/>
    <w:lvl w:ilvl="0">
      <w:start w:val="1"/>
      <w:numFmt w:val="decimal"/>
      <w:pStyle w:val="NumberedHeading"/>
      <w:lvlText w:val="%1."/>
      <w:lvlJc w:val="left"/>
      <w:pPr>
        <w:ind w:left="360" w:hanging="360"/>
      </w:pPr>
      <w:rPr>
        <w:rFonts w:hint="default"/>
      </w:rPr>
    </w:lvl>
    <w:lvl w:ilvl="1">
      <w:start w:val="1"/>
      <w:numFmt w:val="decimal"/>
      <w:pStyle w:val="TextunderNumbered"/>
      <w:isLgl/>
      <w:lvlText w:val="%1.%2"/>
      <w:lvlJc w:val="left"/>
      <w:pPr>
        <w:ind w:left="502" w:hanging="720"/>
      </w:pPr>
      <w:rPr>
        <w:rFonts w:hint="default"/>
        <w:b w:val="0"/>
      </w:rPr>
    </w:lvl>
    <w:lvl w:ilvl="2">
      <w:start w:val="1"/>
      <w:numFmt w:val="decimal"/>
      <w:pStyle w:val="NumberIndented"/>
      <w:isLgl/>
      <w:lvlText w:val="%1.%2.%3"/>
      <w:lvlJc w:val="left"/>
      <w:pPr>
        <w:ind w:left="720" w:hanging="720"/>
      </w:pPr>
      <w:rPr>
        <w:rFonts w:hint="default"/>
        <w:b w:val="0"/>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8686635"/>
    <w:multiLevelType w:val="hybridMultilevel"/>
    <w:tmpl w:val="B95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4501B"/>
    <w:multiLevelType w:val="hybridMultilevel"/>
    <w:tmpl w:val="28522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B752BB"/>
    <w:multiLevelType w:val="hybridMultilevel"/>
    <w:tmpl w:val="94D09352"/>
    <w:lvl w:ilvl="0" w:tplc="402E83C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E26759"/>
    <w:multiLevelType w:val="hybridMultilevel"/>
    <w:tmpl w:val="3224E1E2"/>
    <w:lvl w:ilvl="0" w:tplc="467EA5E8">
      <w:start w:val="1"/>
      <w:numFmt w:val="bullet"/>
      <w:lvlText w:val="•"/>
      <w:lvlJc w:val="left"/>
      <w:pPr>
        <w:tabs>
          <w:tab w:val="num" w:pos="720"/>
        </w:tabs>
        <w:ind w:left="720" w:hanging="360"/>
      </w:pPr>
      <w:rPr>
        <w:rFonts w:ascii="Arial" w:hAnsi="Arial" w:hint="default"/>
      </w:rPr>
    </w:lvl>
    <w:lvl w:ilvl="1" w:tplc="3064ED94" w:tentative="1">
      <w:start w:val="1"/>
      <w:numFmt w:val="bullet"/>
      <w:lvlText w:val="•"/>
      <w:lvlJc w:val="left"/>
      <w:pPr>
        <w:tabs>
          <w:tab w:val="num" w:pos="1440"/>
        </w:tabs>
        <w:ind w:left="1440" w:hanging="360"/>
      </w:pPr>
      <w:rPr>
        <w:rFonts w:ascii="Arial" w:hAnsi="Arial" w:hint="default"/>
      </w:rPr>
    </w:lvl>
    <w:lvl w:ilvl="2" w:tplc="E2F2F16A" w:tentative="1">
      <w:start w:val="1"/>
      <w:numFmt w:val="bullet"/>
      <w:lvlText w:val="•"/>
      <w:lvlJc w:val="left"/>
      <w:pPr>
        <w:tabs>
          <w:tab w:val="num" w:pos="2160"/>
        </w:tabs>
        <w:ind w:left="2160" w:hanging="360"/>
      </w:pPr>
      <w:rPr>
        <w:rFonts w:ascii="Arial" w:hAnsi="Arial" w:hint="default"/>
      </w:rPr>
    </w:lvl>
    <w:lvl w:ilvl="3" w:tplc="1B2252CC" w:tentative="1">
      <w:start w:val="1"/>
      <w:numFmt w:val="bullet"/>
      <w:lvlText w:val="•"/>
      <w:lvlJc w:val="left"/>
      <w:pPr>
        <w:tabs>
          <w:tab w:val="num" w:pos="2880"/>
        </w:tabs>
        <w:ind w:left="2880" w:hanging="360"/>
      </w:pPr>
      <w:rPr>
        <w:rFonts w:ascii="Arial" w:hAnsi="Arial" w:hint="default"/>
      </w:rPr>
    </w:lvl>
    <w:lvl w:ilvl="4" w:tplc="CCF0A504" w:tentative="1">
      <w:start w:val="1"/>
      <w:numFmt w:val="bullet"/>
      <w:lvlText w:val="•"/>
      <w:lvlJc w:val="left"/>
      <w:pPr>
        <w:tabs>
          <w:tab w:val="num" w:pos="3600"/>
        </w:tabs>
        <w:ind w:left="3600" w:hanging="360"/>
      </w:pPr>
      <w:rPr>
        <w:rFonts w:ascii="Arial" w:hAnsi="Arial" w:hint="default"/>
      </w:rPr>
    </w:lvl>
    <w:lvl w:ilvl="5" w:tplc="031CC880" w:tentative="1">
      <w:start w:val="1"/>
      <w:numFmt w:val="bullet"/>
      <w:lvlText w:val="•"/>
      <w:lvlJc w:val="left"/>
      <w:pPr>
        <w:tabs>
          <w:tab w:val="num" w:pos="4320"/>
        </w:tabs>
        <w:ind w:left="4320" w:hanging="360"/>
      </w:pPr>
      <w:rPr>
        <w:rFonts w:ascii="Arial" w:hAnsi="Arial" w:hint="default"/>
      </w:rPr>
    </w:lvl>
    <w:lvl w:ilvl="6" w:tplc="864EC412" w:tentative="1">
      <w:start w:val="1"/>
      <w:numFmt w:val="bullet"/>
      <w:lvlText w:val="•"/>
      <w:lvlJc w:val="left"/>
      <w:pPr>
        <w:tabs>
          <w:tab w:val="num" w:pos="5040"/>
        </w:tabs>
        <w:ind w:left="5040" w:hanging="360"/>
      </w:pPr>
      <w:rPr>
        <w:rFonts w:ascii="Arial" w:hAnsi="Arial" w:hint="default"/>
      </w:rPr>
    </w:lvl>
    <w:lvl w:ilvl="7" w:tplc="7552686A" w:tentative="1">
      <w:start w:val="1"/>
      <w:numFmt w:val="bullet"/>
      <w:lvlText w:val="•"/>
      <w:lvlJc w:val="left"/>
      <w:pPr>
        <w:tabs>
          <w:tab w:val="num" w:pos="5760"/>
        </w:tabs>
        <w:ind w:left="5760" w:hanging="360"/>
      </w:pPr>
      <w:rPr>
        <w:rFonts w:ascii="Arial" w:hAnsi="Arial" w:hint="default"/>
      </w:rPr>
    </w:lvl>
    <w:lvl w:ilvl="8" w:tplc="1B0052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D778CC"/>
    <w:multiLevelType w:val="multilevel"/>
    <w:tmpl w:val="A7E205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EB1766"/>
    <w:multiLevelType w:val="multilevel"/>
    <w:tmpl w:val="546643C6"/>
    <w:styleLink w:val="StyleStyleBulletedSymbolsymbolLeft126cmHanging063"/>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6" w15:restartNumberingAfterBreak="0">
    <w:nsid w:val="406B02D0"/>
    <w:multiLevelType w:val="hybridMultilevel"/>
    <w:tmpl w:val="94D09352"/>
    <w:lvl w:ilvl="0" w:tplc="402E83C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156A08"/>
    <w:multiLevelType w:val="multilevel"/>
    <w:tmpl w:val="1ABE6CDE"/>
    <w:lvl w:ilvl="0">
      <w:start w:val="1"/>
      <w:numFmt w:val="decimal"/>
      <w:lvlText w:val="%1."/>
      <w:lvlJc w:val="left"/>
      <w:pPr>
        <w:ind w:left="360" w:hanging="360"/>
      </w:pPr>
      <w:rPr>
        <w:rFonts w:hint="default"/>
      </w:rPr>
    </w:lvl>
    <w:lvl w:ilvl="1">
      <w:start w:val="1"/>
      <w:numFmt w:val="bullet"/>
      <w:lvlText w:val=""/>
      <w:lvlJc w:val="left"/>
      <w:pPr>
        <w:ind w:left="502" w:hanging="72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9CF5F27"/>
    <w:multiLevelType w:val="hybridMultilevel"/>
    <w:tmpl w:val="EF52B496"/>
    <w:lvl w:ilvl="0" w:tplc="5E1E28B6">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8D499E"/>
    <w:multiLevelType w:val="hybridMultilevel"/>
    <w:tmpl w:val="6BE4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B56E9"/>
    <w:multiLevelType w:val="multilevel"/>
    <w:tmpl w:val="C002ACC8"/>
    <w:lvl w:ilvl="0">
      <w:start w:val="1"/>
      <w:numFmt w:val="decimal"/>
      <w:lvlText w:val="%1."/>
      <w:lvlJc w:val="left"/>
      <w:pPr>
        <w:ind w:left="360" w:hanging="360"/>
      </w:pPr>
      <w:rPr>
        <w:rFonts w:hint="default"/>
      </w:rPr>
    </w:lvl>
    <w:lvl w:ilvl="1">
      <w:start w:val="1"/>
      <w:numFmt w:val="decimal"/>
      <w:isLgl/>
      <w:lvlText w:val="%1.%2"/>
      <w:lvlJc w:val="left"/>
      <w:pPr>
        <w:ind w:left="502"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F8707AF"/>
    <w:multiLevelType w:val="hybridMultilevel"/>
    <w:tmpl w:val="D06E8780"/>
    <w:lvl w:ilvl="0" w:tplc="D62CDB68">
      <w:start w:val="1"/>
      <w:numFmt w:val="bullet"/>
      <w:lvlText w:val="•"/>
      <w:lvlJc w:val="left"/>
      <w:pPr>
        <w:tabs>
          <w:tab w:val="num" w:pos="720"/>
        </w:tabs>
        <w:ind w:left="720" w:hanging="360"/>
      </w:pPr>
      <w:rPr>
        <w:rFonts w:ascii="Arial" w:hAnsi="Arial" w:hint="default"/>
      </w:rPr>
    </w:lvl>
    <w:lvl w:ilvl="1" w:tplc="E00CE5D2" w:tentative="1">
      <w:start w:val="1"/>
      <w:numFmt w:val="bullet"/>
      <w:lvlText w:val="•"/>
      <w:lvlJc w:val="left"/>
      <w:pPr>
        <w:tabs>
          <w:tab w:val="num" w:pos="1440"/>
        </w:tabs>
        <w:ind w:left="1440" w:hanging="360"/>
      </w:pPr>
      <w:rPr>
        <w:rFonts w:ascii="Arial" w:hAnsi="Arial" w:hint="default"/>
      </w:rPr>
    </w:lvl>
    <w:lvl w:ilvl="2" w:tplc="31526A6A" w:tentative="1">
      <w:start w:val="1"/>
      <w:numFmt w:val="bullet"/>
      <w:lvlText w:val="•"/>
      <w:lvlJc w:val="left"/>
      <w:pPr>
        <w:tabs>
          <w:tab w:val="num" w:pos="2160"/>
        </w:tabs>
        <w:ind w:left="2160" w:hanging="360"/>
      </w:pPr>
      <w:rPr>
        <w:rFonts w:ascii="Arial" w:hAnsi="Arial" w:hint="default"/>
      </w:rPr>
    </w:lvl>
    <w:lvl w:ilvl="3" w:tplc="BC102720" w:tentative="1">
      <w:start w:val="1"/>
      <w:numFmt w:val="bullet"/>
      <w:lvlText w:val="•"/>
      <w:lvlJc w:val="left"/>
      <w:pPr>
        <w:tabs>
          <w:tab w:val="num" w:pos="2880"/>
        </w:tabs>
        <w:ind w:left="2880" w:hanging="360"/>
      </w:pPr>
      <w:rPr>
        <w:rFonts w:ascii="Arial" w:hAnsi="Arial" w:hint="default"/>
      </w:rPr>
    </w:lvl>
    <w:lvl w:ilvl="4" w:tplc="5B0E9AFC" w:tentative="1">
      <w:start w:val="1"/>
      <w:numFmt w:val="bullet"/>
      <w:lvlText w:val="•"/>
      <w:lvlJc w:val="left"/>
      <w:pPr>
        <w:tabs>
          <w:tab w:val="num" w:pos="3600"/>
        </w:tabs>
        <w:ind w:left="3600" w:hanging="360"/>
      </w:pPr>
      <w:rPr>
        <w:rFonts w:ascii="Arial" w:hAnsi="Arial" w:hint="default"/>
      </w:rPr>
    </w:lvl>
    <w:lvl w:ilvl="5" w:tplc="35E84E50" w:tentative="1">
      <w:start w:val="1"/>
      <w:numFmt w:val="bullet"/>
      <w:lvlText w:val="•"/>
      <w:lvlJc w:val="left"/>
      <w:pPr>
        <w:tabs>
          <w:tab w:val="num" w:pos="4320"/>
        </w:tabs>
        <w:ind w:left="4320" w:hanging="360"/>
      </w:pPr>
      <w:rPr>
        <w:rFonts w:ascii="Arial" w:hAnsi="Arial" w:hint="default"/>
      </w:rPr>
    </w:lvl>
    <w:lvl w:ilvl="6" w:tplc="E7401150" w:tentative="1">
      <w:start w:val="1"/>
      <w:numFmt w:val="bullet"/>
      <w:lvlText w:val="•"/>
      <w:lvlJc w:val="left"/>
      <w:pPr>
        <w:tabs>
          <w:tab w:val="num" w:pos="5040"/>
        </w:tabs>
        <w:ind w:left="5040" w:hanging="360"/>
      </w:pPr>
      <w:rPr>
        <w:rFonts w:ascii="Arial" w:hAnsi="Arial" w:hint="default"/>
      </w:rPr>
    </w:lvl>
    <w:lvl w:ilvl="7" w:tplc="9F749722" w:tentative="1">
      <w:start w:val="1"/>
      <w:numFmt w:val="bullet"/>
      <w:lvlText w:val="•"/>
      <w:lvlJc w:val="left"/>
      <w:pPr>
        <w:tabs>
          <w:tab w:val="num" w:pos="5760"/>
        </w:tabs>
        <w:ind w:left="5760" w:hanging="360"/>
      </w:pPr>
      <w:rPr>
        <w:rFonts w:ascii="Arial" w:hAnsi="Arial" w:hint="default"/>
      </w:rPr>
    </w:lvl>
    <w:lvl w:ilvl="8" w:tplc="747074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E35870"/>
    <w:multiLevelType w:val="hybridMultilevel"/>
    <w:tmpl w:val="2A020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FA12E9"/>
    <w:multiLevelType w:val="hybridMultilevel"/>
    <w:tmpl w:val="309AF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CD33FF"/>
    <w:multiLevelType w:val="hybridMultilevel"/>
    <w:tmpl w:val="ED764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FF2270"/>
    <w:multiLevelType w:val="multilevel"/>
    <w:tmpl w:val="546643C6"/>
    <w:styleLink w:val="StyleBulletedSymbolsymbolLeft126cmHanging063cm"/>
    <w:lvl w:ilvl="0">
      <w:start w:val="1"/>
      <w:numFmt w:val="bullet"/>
      <w:pStyle w:val="ListParagraph"/>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6" w15:restartNumberingAfterBreak="0">
    <w:nsid w:val="671425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3A719E"/>
    <w:multiLevelType w:val="multilevel"/>
    <w:tmpl w:val="F2AEBA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9B227EC"/>
    <w:multiLevelType w:val="hybridMultilevel"/>
    <w:tmpl w:val="FBF8F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CEE366A"/>
    <w:multiLevelType w:val="multilevel"/>
    <w:tmpl w:val="546643C6"/>
    <w:numStyleLink w:val="StyleBulletedSymbolsymbolLeft126cmHanging063cm"/>
  </w:abstractNum>
  <w:abstractNum w:abstractNumId="30" w15:restartNumberingAfterBreak="0">
    <w:nsid w:val="74C61213"/>
    <w:multiLevelType w:val="hybridMultilevel"/>
    <w:tmpl w:val="BAFE3208"/>
    <w:lvl w:ilvl="0" w:tplc="DCC038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71894887">
    <w:abstractNumId w:val="27"/>
  </w:num>
  <w:num w:numId="2" w16cid:durableId="1498039051">
    <w:abstractNumId w:val="25"/>
  </w:num>
  <w:num w:numId="3" w16cid:durableId="2021929849">
    <w:abstractNumId w:val="29"/>
  </w:num>
  <w:num w:numId="4" w16cid:durableId="2048140118">
    <w:abstractNumId w:val="15"/>
  </w:num>
  <w:num w:numId="5" w16cid:durableId="1115488839">
    <w:abstractNumId w:val="20"/>
  </w:num>
  <w:num w:numId="6" w16cid:durableId="468935215">
    <w:abstractNumId w:val="6"/>
  </w:num>
  <w:num w:numId="7" w16cid:durableId="564612048">
    <w:abstractNumId w:val="20"/>
  </w:num>
  <w:num w:numId="8" w16cid:durableId="1149009564">
    <w:abstractNumId w:val="20"/>
  </w:num>
  <w:num w:numId="9" w16cid:durableId="1031229229">
    <w:abstractNumId w:val="20"/>
  </w:num>
  <w:num w:numId="10" w16cid:durableId="770465730">
    <w:abstractNumId w:val="1"/>
  </w:num>
  <w:num w:numId="11" w16cid:durableId="1303384975">
    <w:abstractNumId w:val="0"/>
  </w:num>
  <w:num w:numId="12" w16cid:durableId="235751589">
    <w:abstractNumId w:val="19"/>
  </w:num>
  <w:num w:numId="13" w16cid:durableId="1069771594">
    <w:abstractNumId w:val="10"/>
  </w:num>
  <w:num w:numId="14" w16cid:durableId="773357475">
    <w:abstractNumId w:val="29"/>
  </w:num>
  <w:num w:numId="15" w16cid:durableId="681007267">
    <w:abstractNumId w:val="28"/>
  </w:num>
  <w:num w:numId="16" w16cid:durableId="1489590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545951">
    <w:abstractNumId w:val="1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211044572">
    <w:abstractNumId w:val="9"/>
  </w:num>
  <w:num w:numId="19" w16cid:durableId="431096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6450219">
    <w:abstractNumId w:val="2"/>
  </w:num>
  <w:num w:numId="21" w16cid:durableId="2077974314">
    <w:abstractNumId w:val="9"/>
  </w:num>
  <w:num w:numId="22" w16cid:durableId="564727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0560792">
    <w:abstractNumId w:val="17"/>
  </w:num>
  <w:num w:numId="24" w16cid:durableId="444882290">
    <w:abstractNumId w:val="7"/>
  </w:num>
  <w:num w:numId="25" w16cid:durableId="1740710024">
    <w:abstractNumId w:val="16"/>
  </w:num>
  <w:num w:numId="26" w16cid:durableId="836506419">
    <w:abstractNumId w:val="11"/>
  </w:num>
  <w:num w:numId="27" w16cid:durableId="939875849">
    <w:abstractNumId w:val="30"/>
  </w:num>
  <w:num w:numId="28" w16cid:durableId="1552617881">
    <w:abstractNumId w:val="24"/>
  </w:num>
  <w:num w:numId="29" w16cid:durableId="1387220219">
    <w:abstractNumId w:val="18"/>
  </w:num>
  <w:num w:numId="30" w16cid:durableId="182793538">
    <w:abstractNumId w:val="12"/>
  </w:num>
  <w:num w:numId="31" w16cid:durableId="1640526188">
    <w:abstractNumId w:val="22"/>
  </w:num>
  <w:num w:numId="32" w16cid:durableId="243880544">
    <w:abstractNumId w:val="3"/>
  </w:num>
  <w:num w:numId="33" w16cid:durableId="2082094723">
    <w:abstractNumId w:val="23"/>
  </w:num>
  <w:num w:numId="34" w16cid:durableId="2041976384">
    <w:abstractNumId w:val="1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sz w:val="22"/>
          <w:szCs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16cid:durableId="1182545853">
    <w:abstractNumId w:val="4"/>
  </w:num>
  <w:num w:numId="36" w16cid:durableId="100954202">
    <w:abstractNumId w:val="13"/>
  </w:num>
  <w:num w:numId="37" w16cid:durableId="148905763">
    <w:abstractNumId w:val="21"/>
  </w:num>
  <w:num w:numId="38" w16cid:durableId="795373013">
    <w:abstractNumId w:val="8"/>
  </w:num>
  <w:num w:numId="39" w16cid:durableId="1105538091">
    <w:abstractNumId w:val="5"/>
  </w:num>
  <w:num w:numId="40" w16cid:durableId="2321252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embedSystemFont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228"/>
    <w:rsid w:val="000020BF"/>
    <w:rsid w:val="00003EFA"/>
    <w:rsid w:val="00017F5B"/>
    <w:rsid w:val="00020984"/>
    <w:rsid w:val="00020B30"/>
    <w:rsid w:val="00023242"/>
    <w:rsid w:val="00025721"/>
    <w:rsid w:val="00027602"/>
    <w:rsid w:val="000332FB"/>
    <w:rsid w:val="00035AAF"/>
    <w:rsid w:val="000379A6"/>
    <w:rsid w:val="00040E83"/>
    <w:rsid w:val="00041B91"/>
    <w:rsid w:val="00041D2C"/>
    <w:rsid w:val="000433E3"/>
    <w:rsid w:val="000473FE"/>
    <w:rsid w:val="00051F17"/>
    <w:rsid w:val="000571EA"/>
    <w:rsid w:val="000626DC"/>
    <w:rsid w:val="00062DDF"/>
    <w:rsid w:val="000650F3"/>
    <w:rsid w:val="000728A8"/>
    <w:rsid w:val="000728D5"/>
    <w:rsid w:val="000736E7"/>
    <w:rsid w:val="00080C7B"/>
    <w:rsid w:val="00080E3B"/>
    <w:rsid w:val="000854E5"/>
    <w:rsid w:val="0009512A"/>
    <w:rsid w:val="00095DCB"/>
    <w:rsid w:val="000A31FF"/>
    <w:rsid w:val="000A4BE5"/>
    <w:rsid w:val="000A6A88"/>
    <w:rsid w:val="000B3951"/>
    <w:rsid w:val="000B6603"/>
    <w:rsid w:val="000B7E3F"/>
    <w:rsid w:val="000C18E6"/>
    <w:rsid w:val="000C6A06"/>
    <w:rsid w:val="000C745D"/>
    <w:rsid w:val="000D13E6"/>
    <w:rsid w:val="000D2D41"/>
    <w:rsid w:val="000E3A4F"/>
    <w:rsid w:val="000F71FD"/>
    <w:rsid w:val="00104AA2"/>
    <w:rsid w:val="0010544A"/>
    <w:rsid w:val="00107231"/>
    <w:rsid w:val="00107B5F"/>
    <w:rsid w:val="001165E6"/>
    <w:rsid w:val="00117785"/>
    <w:rsid w:val="001178DC"/>
    <w:rsid w:val="0012210E"/>
    <w:rsid w:val="001248A6"/>
    <w:rsid w:val="00143E08"/>
    <w:rsid w:val="001445DC"/>
    <w:rsid w:val="001469E5"/>
    <w:rsid w:val="00154260"/>
    <w:rsid w:val="001615CF"/>
    <w:rsid w:val="00161A92"/>
    <w:rsid w:val="0016405A"/>
    <w:rsid w:val="0016685E"/>
    <w:rsid w:val="00175F8F"/>
    <w:rsid w:val="001801C9"/>
    <w:rsid w:val="00184F82"/>
    <w:rsid w:val="001857B0"/>
    <w:rsid w:val="00187EE4"/>
    <w:rsid w:val="00192E0F"/>
    <w:rsid w:val="00197C7A"/>
    <w:rsid w:val="001A7597"/>
    <w:rsid w:val="001A7781"/>
    <w:rsid w:val="001B0429"/>
    <w:rsid w:val="001B0BCF"/>
    <w:rsid w:val="001B43C8"/>
    <w:rsid w:val="001B4E2B"/>
    <w:rsid w:val="001B7B61"/>
    <w:rsid w:val="001C421B"/>
    <w:rsid w:val="001C548E"/>
    <w:rsid w:val="001C7A92"/>
    <w:rsid w:val="001C7C7A"/>
    <w:rsid w:val="001D162C"/>
    <w:rsid w:val="001D7968"/>
    <w:rsid w:val="001E53CD"/>
    <w:rsid w:val="001F1F28"/>
    <w:rsid w:val="00202120"/>
    <w:rsid w:val="0021472F"/>
    <w:rsid w:val="00223B2D"/>
    <w:rsid w:val="00224CDD"/>
    <w:rsid w:val="002257DD"/>
    <w:rsid w:val="00226339"/>
    <w:rsid w:val="002274EA"/>
    <w:rsid w:val="00227DA7"/>
    <w:rsid w:val="00233C2B"/>
    <w:rsid w:val="00244C00"/>
    <w:rsid w:val="00247A40"/>
    <w:rsid w:val="0025337D"/>
    <w:rsid w:val="00256C4D"/>
    <w:rsid w:val="00261BE0"/>
    <w:rsid w:val="002643CB"/>
    <w:rsid w:val="00264533"/>
    <w:rsid w:val="00266686"/>
    <w:rsid w:val="00270BC7"/>
    <w:rsid w:val="00270EA1"/>
    <w:rsid w:val="00270F14"/>
    <w:rsid w:val="00277CF1"/>
    <w:rsid w:val="00280D1A"/>
    <w:rsid w:val="002824C1"/>
    <w:rsid w:val="00284679"/>
    <w:rsid w:val="00290CD7"/>
    <w:rsid w:val="002A4E31"/>
    <w:rsid w:val="002A710D"/>
    <w:rsid w:val="002B06CD"/>
    <w:rsid w:val="002B381E"/>
    <w:rsid w:val="002B7160"/>
    <w:rsid w:val="002C0521"/>
    <w:rsid w:val="002C113B"/>
    <w:rsid w:val="002D06CA"/>
    <w:rsid w:val="002D387E"/>
    <w:rsid w:val="002D42C7"/>
    <w:rsid w:val="002E1ED8"/>
    <w:rsid w:val="002E31A0"/>
    <w:rsid w:val="002E414D"/>
    <w:rsid w:val="002E5DE1"/>
    <w:rsid w:val="002F01E8"/>
    <w:rsid w:val="002F2ED4"/>
    <w:rsid w:val="00304777"/>
    <w:rsid w:val="00313A94"/>
    <w:rsid w:val="003147EE"/>
    <w:rsid w:val="00315E90"/>
    <w:rsid w:val="0031605D"/>
    <w:rsid w:val="00316D53"/>
    <w:rsid w:val="00320912"/>
    <w:rsid w:val="00320926"/>
    <w:rsid w:val="00323CEE"/>
    <w:rsid w:val="00325879"/>
    <w:rsid w:val="0032673C"/>
    <w:rsid w:val="00333106"/>
    <w:rsid w:val="003354C0"/>
    <w:rsid w:val="003369E4"/>
    <w:rsid w:val="00336D63"/>
    <w:rsid w:val="00337D89"/>
    <w:rsid w:val="003458B9"/>
    <w:rsid w:val="00371ACC"/>
    <w:rsid w:val="0037273C"/>
    <w:rsid w:val="00372EEB"/>
    <w:rsid w:val="00373491"/>
    <w:rsid w:val="00375C7B"/>
    <w:rsid w:val="00376A9E"/>
    <w:rsid w:val="0038061F"/>
    <w:rsid w:val="00381DB4"/>
    <w:rsid w:val="00385E84"/>
    <w:rsid w:val="0038756E"/>
    <w:rsid w:val="0039349D"/>
    <w:rsid w:val="00394787"/>
    <w:rsid w:val="0039597D"/>
    <w:rsid w:val="00396218"/>
    <w:rsid w:val="00397BC9"/>
    <w:rsid w:val="003A1412"/>
    <w:rsid w:val="003A472F"/>
    <w:rsid w:val="003B00B6"/>
    <w:rsid w:val="003B22CE"/>
    <w:rsid w:val="003B2EC9"/>
    <w:rsid w:val="003B5A3E"/>
    <w:rsid w:val="003B6B19"/>
    <w:rsid w:val="003C4AC6"/>
    <w:rsid w:val="003D43DC"/>
    <w:rsid w:val="003E5E57"/>
    <w:rsid w:val="003E6192"/>
    <w:rsid w:val="003E78F3"/>
    <w:rsid w:val="003F7903"/>
    <w:rsid w:val="004056E6"/>
    <w:rsid w:val="00405AB9"/>
    <w:rsid w:val="00406425"/>
    <w:rsid w:val="00406426"/>
    <w:rsid w:val="00407CBA"/>
    <w:rsid w:val="004157FB"/>
    <w:rsid w:val="004163E4"/>
    <w:rsid w:val="004178A8"/>
    <w:rsid w:val="00420F66"/>
    <w:rsid w:val="0042565C"/>
    <w:rsid w:val="00430EA3"/>
    <w:rsid w:val="004314A1"/>
    <w:rsid w:val="00432628"/>
    <w:rsid w:val="00432A61"/>
    <w:rsid w:val="00432EF2"/>
    <w:rsid w:val="00450C3B"/>
    <w:rsid w:val="00457C5C"/>
    <w:rsid w:val="00463515"/>
    <w:rsid w:val="0046613D"/>
    <w:rsid w:val="004722F4"/>
    <w:rsid w:val="00484546"/>
    <w:rsid w:val="00491809"/>
    <w:rsid w:val="0049236C"/>
    <w:rsid w:val="0049501F"/>
    <w:rsid w:val="004A0B7B"/>
    <w:rsid w:val="004A0C6D"/>
    <w:rsid w:val="004A2EC7"/>
    <w:rsid w:val="004A4447"/>
    <w:rsid w:val="004A7145"/>
    <w:rsid w:val="004B3E0B"/>
    <w:rsid w:val="004C1D49"/>
    <w:rsid w:val="004C60B0"/>
    <w:rsid w:val="004C77C1"/>
    <w:rsid w:val="004D091D"/>
    <w:rsid w:val="004D0DB4"/>
    <w:rsid w:val="004D28E2"/>
    <w:rsid w:val="004E025C"/>
    <w:rsid w:val="004E7050"/>
    <w:rsid w:val="004E7D62"/>
    <w:rsid w:val="004E7EA4"/>
    <w:rsid w:val="004F45DA"/>
    <w:rsid w:val="004F4829"/>
    <w:rsid w:val="00500E2D"/>
    <w:rsid w:val="0050325C"/>
    <w:rsid w:val="00506F7D"/>
    <w:rsid w:val="005077AE"/>
    <w:rsid w:val="00510F18"/>
    <w:rsid w:val="0051139E"/>
    <w:rsid w:val="00524764"/>
    <w:rsid w:val="00530819"/>
    <w:rsid w:val="005321A7"/>
    <w:rsid w:val="00534A8E"/>
    <w:rsid w:val="00534A92"/>
    <w:rsid w:val="0053563B"/>
    <w:rsid w:val="00535B3E"/>
    <w:rsid w:val="00541099"/>
    <w:rsid w:val="00541ACE"/>
    <w:rsid w:val="00542154"/>
    <w:rsid w:val="00554D1C"/>
    <w:rsid w:val="005561CE"/>
    <w:rsid w:val="00556F93"/>
    <w:rsid w:val="00557528"/>
    <w:rsid w:val="005575AA"/>
    <w:rsid w:val="0056226B"/>
    <w:rsid w:val="00562D3C"/>
    <w:rsid w:val="00565C16"/>
    <w:rsid w:val="00571AD3"/>
    <w:rsid w:val="00577C8C"/>
    <w:rsid w:val="00580CCE"/>
    <w:rsid w:val="005818C2"/>
    <w:rsid w:val="00585101"/>
    <w:rsid w:val="00585914"/>
    <w:rsid w:val="00591A1E"/>
    <w:rsid w:val="0059293F"/>
    <w:rsid w:val="00592CA7"/>
    <w:rsid w:val="00592EFA"/>
    <w:rsid w:val="005935CE"/>
    <w:rsid w:val="00595E3B"/>
    <w:rsid w:val="005A0CFF"/>
    <w:rsid w:val="005A4C82"/>
    <w:rsid w:val="005B7033"/>
    <w:rsid w:val="005C4BD9"/>
    <w:rsid w:val="005C6266"/>
    <w:rsid w:val="005D125D"/>
    <w:rsid w:val="005D2B79"/>
    <w:rsid w:val="005D7C5E"/>
    <w:rsid w:val="005E2528"/>
    <w:rsid w:val="005E5EC6"/>
    <w:rsid w:val="005E60DB"/>
    <w:rsid w:val="005E7CBB"/>
    <w:rsid w:val="005F0DED"/>
    <w:rsid w:val="005F5083"/>
    <w:rsid w:val="006032FA"/>
    <w:rsid w:val="00605162"/>
    <w:rsid w:val="006070D4"/>
    <w:rsid w:val="0061091E"/>
    <w:rsid w:val="00610E6A"/>
    <w:rsid w:val="006131DD"/>
    <w:rsid w:val="00613687"/>
    <w:rsid w:val="00631D8D"/>
    <w:rsid w:val="00632888"/>
    <w:rsid w:val="00637280"/>
    <w:rsid w:val="0064139E"/>
    <w:rsid w:val="00641F3C"/>
    <w:rsid w:val="00644C33"/>
    <w:rsid w:val="006474EC"/>
    <w:rsid w:val="00652479"/>
    <w:rsid w:val="0065376C"/>
    <w:rsid w:val="0065601C"/>
    <w:rsid w:val="00656588"/>
    <w:rsid w:val="0066369C"/>
    <w:rsid w:val="00671ACC"/>
    <w:rsid w:val="006736A6"/>
    <w:rsid w:val="00675D14"/>
    <w:rsid w:val="00676142"/>
    <w:rsid w:val="0067654A"/>
    <w:rsid w:val="00676B11"/>
    <w:rsid w:val="00681939"/>
    <w:rsid w:val="006833F8"/>
    <w:rsid w:val="00696B95"/>
    <w:rsid w:val="006A0173"/>
    <w:rsid w:val="006A0413"/>
    <w:rsid w:val="006A09C2"/>
    <w:rsid w:val="006A530A"/>
    <w:rsid w:val="006A6A1E"/>
    <w:rsid w:val="006B697D"/>
    <w:rsid w:val="006C0FB3"/>
    <w:rsid w:val="006C2528"/>
    <w:rsid w:val="006D1B49"/>
    <w:rsid w:val="006D6064"/>
    <w:rsid w:val="006D7923"/>
    <w:rsid w:val="006D7E16"/>
    <w:rsid w:val="006E40E5"/>
    <w:rsid w:val="006F31A4"/>
    <w:rsid w:val="006F3B90"/>
    <w:rsid w:val="006F422E"/>
    <w:rsid w:val="006F6EA9"/>
    <w:rsid w:val="007021D5"/>
    <w:rsid w:val="00706C5E"/>
    <w:rsid w:val="00713506"/>
    <w:rsid w:val="0072109E"/>
    <w:rsid w:val="007270E7"/>
    <w:rsid w:val="00727A7C"/>
    <w:rsid w:val="00731B26"/>
    <w:rsid w:val="00740150"/>
    <w:rsid w:val="0074156F"/>
    <w:rsid w:val="0075231F"/>
    <w:rsid w:val="007748EE"/>
    <w:rsid w:val="007762A2"/>
    <w:rsid w:val="007763EC"/>
    <w:rsid w:val="00776DEE"/>
    <w:rsid w:val="0078767C"/>
    <w:rsid w:val="007903C2"/>
    <w:rsid w:val="007904F8"/>
    <w:rsid w:val="00794953"/>
    <w:rsid w:val="00795542"/>
    <w:rsid w:val="00797189"/>
    <w:rsid w:val="007A0E30"/>
    <w:rsid w:val="007A2228"/>
    <w:rsid w:val="007A42BC"/>
    <w:rsid w:val="007A4CD9"/>
    <w:rsid w:val="007B799F"/>
    <w:rsid w:val="007C2BF3"/>
    <w:rsid w:val="007C2F9F"/>
    <w:rsid w:val="007C4500"/>
    <w:rsid w:val="007D16BF"/>
    <w:rsid w:val="007D25F3"/>
    <w:rsid w:val="007D41D5"/>
    <w:rsid w:val="007D464F"/>
    <w:rsid w:val="007E2135"/>
    <w:rsid w:val="007E219F"/>
    <w:rsid w:val="007E704E"/>
    <w:rsid w:val="007F3FA3"/>
    <w:rsid w:val="00802135"/>
    <w:rsid w:val="00803D2B"/>
    <w:rsid w:val="008043D7"/>
    <w:rsid w:val="008049DA"/>
    <w:rsid w:val="00806304"/>
    <w:rsid w:val="00811BE9"/>
    <w:rsid w:val="00815F6F"/>
    <w:rsid w:val="008162F6"/>
    <w:rsid w:val="00822213"/>
    <w:rsid w:val="00827B2E"/>
    <w:rsid w:val="00830107"/>
    <w:rsid w:val="008318AF"/>
    <w:rsid w:val="008334FE"/>
    <w:rsid w:val="00834964"/>
    <w:rsid w:val="008437DD"/>
    <w:rsid w:val="00843CE3"/>
    <w:rsid w:val="00845213"/>
    <w:rsid w:val="00847296"/>
    <w:rsid w:val="00850ED6"/>
    <w:rsid w:val="0085359B"/>
    <w:rsid w:val="008548B3"/>
    <w:rsid w:val="008568D4"/>
    <w:rsid w:val="00860931"/>
    <w:rsid w:val="00870BC5"/>
    <w:rsid w:val="00870DEB"/>
    <w:rsid w:val="00872A98"/>
    <w:rsid w:val="00877CCE"/>
    <w:rsid w:val="00880AF9"/>
    <w:rsid w:val="00883530"/>
    <w:rsid w:val="00883FD0"/>
    <w:rsid w:val="00884994"/>
    <w:rsid w:val="0088524B"/>
    <w:rsid w:val="00885CDB"/>
    <w:rsid w:val="00886964"/>
    <w:rsid w:val="00887B17"/>
    <w:rsid w:val="00892D17"/>
    <w:rsid w:val="00896DB9"/>
    <w:rsid w:val="00897663"/>
    <w:rsid w:val="008A5B8D"/>
    <w:rsid w:val="008B066F"/>
    <w:rsid w:val="008B1708"/>
    <w:rsid w:val="008B2F15"/>
    <w:rsid w:val="008C186B"/>
    <w:rsid w:val="008D141F"/>
    <w:rsid w:val="008D1D78"/>
    <w:rsid w:val="008D4B74"/>
    <w:rsid w:val="008E12CE"/>
    <w:rsid w:val="008E1A74"/>
    <w:rsid w:val="008E3BF9"/>
    <w:rsid w:val="008E50ED"/>
    <w:rsid w:val="008E5372"/>
    <w:rsid w:val="008E70C8"/>
    <w:rsid w:val="008F023E"/>
    <w:rsid w:val="008F243F"/>
    <w:rsid w:val="008F2D26"/>
    <w:rsid w:val="008F43C8"/>
    <w:rsid w:val="008F73C8"/>
    <w:rsid w:val="008F7708"/>
    <w:rsid w:val="009023E6"/>
    <w:rsid w:val="009054FB"/>
    <w:rsid w:val="00906FAA"/>
    <w:rsid w:val="00910E65"/>
    <w:rsid w:val="00911C73"/>
    <w:rsid w:val="00911F3F"/>
    <w:rsid w:val="0091266D"/>
    <w:rsid w:val="009134EF"/>
    <w:rsid w:val="00913AF3"/>
    <w:rsid w:val="00915B6C"/>
    <w:rsid w:val="009160D9"/>
    <w:rsid w:val="0092011E"/>
    <w:rsid w:val="00921997"/>
    <w:rsid w:val="00930ABF"/>
    <w:rsid w:val="00932D1E"/>
    <w:rsid w:val="009408CC"/>
    <w:rsid w:val="00940F6A"/>
    <w:rsid w:val="0094166D"/>
    <w:rsid w:val="00944027"/>
    <w:rsid w:val="00946FDE"/>
    <w:rsid w:val="0096525F"/>
    <w:rsid w:val="00972E17"/>
    <w:rsid w:val="00973736"/>
    <w:rsid w:val="00990003"/>
    <w:rsid w:val="0099554E"/>
    <w:rsid w:val="009A20D6"/>
    <w:rsid w:val="009A735C"/>
    <w:rsid w:val="009B1052"/>
    <w:rsid w:val="009B145C"/>
    <w:rsid w:val="009B4029"/>
    <w:rsid w:val="009B562C"/>
    <w:rsid w:val="009C143C"/>
    <w:rsid w:val="009D31EA"/>
    <w:rsid w:val="009E3A50"/>
    <w:rsid w:val="009E6068"/>
    <w:rsid w:val="009E7601"/>
    <w:rsid w:val="009E7CDD"/>
    <w:rsid w:val="00A05B8E"/>
    <w:rsid w:val="00A06E8D"/>
    <w:rsid w:val="00A07D45"/>
    <w:rsid w:val="00A10272"/>
    <w:rsid w:val="00A12D00"/>
    <w:rsid w:val="00A17641"/>
    <w:rsid w:val="00A264F4"/>
    <w:rsid w:val="00A26D50"/>
    <w:rsid w:val="00A325C6"/>
    <w:rsid w:val="00A32C9E"/>
    <w:rsid w:val="00A36CFC"/>
    <w:rsid w:val="00A374E0"/>
    <w:rsid w:val="00A379CB"/>
    <w:rsid w:val="00A44B0D"/>
    <w:rsid w:val="00A47049"/>
    <w:rsid w:val="00A47C3D"/>
    <w:rsid w:val="00A47F8D"/>
    <w:rsid w:val="00A56206"/>
    <w:rsid w:val="00A57AB0"/>
    <w:rsid w:val="00A57B4B"/>
    <w:rsid w:val="00A639B0"/>
    <w:rsid w:val="00A63FAF"/>
    <w:rsid w:val="00A646B7"/>
    <w:rsid w:val="00A64B63"/>
    <w:rsid w:val="00A66341"/>
    <w:rsid w:val="00A71844"/>
    <w:rsid w:val="00A71D62"/>
    <w:rsid w:val="00A8028E"/>
    <w:rsid w:val="00A80D06"/>
    <w:rsid w:val="00A810B1"/>
    <w:rsid w:val="00A82D9D"/>
    <w:rsid w:val="00A953D0"/>
    <w:rsid w:val="00A965E5"/>
    <w:rsid w:val="00A96DD7"/>
    <w:rsid w:val="00AA1746"/>
    <w:rsid w:val="00AA4686"/>
    <w:rsid w:val="00AA7907"/>
    <w:rsid w:val="00AC4105"/>
    <w:rsid w:val="00AD0FCD"/>
    <w:rsid w:val="00AD189A"/>
    <w:rsid w:val="00AD2791"/>
    <w:rsid w:val="00AD3850"/>
    <w:rsid w:val="00AD69AE"/>
    <w:rsid w:val="00AE56F9"/>
    <w:rsid w:val="00AF037D"/>
    <w:rsid w:val="00AF131E"/>
    <w:rsid w:val="00AF5625"/>
    <w:rsid w:val="00B0210C"/>
    <w:rsid w:val="00B04CB6"/>
    <w:rsid w:val="00B06471"/>
    <w:rsid w:val="00B06D5C"/>
    <w:rsid w:val="00B104F4"/>
    <w:rsid w:val="00B12195"/>
    <w:rsid w:val="00B1270D"/>
    <w:rsid w:val="00B14CFB"/>
    <w:rsid w:val="00B16D7C"/>
    <w:rsid w:val="00B21E9C"/>
    <w:rsid w:val="00B239AB"/>
    <w:rsid w:val="00B24B25"/>
    <w:rsid w:val="00B2639F"/>
    <w:rsid w:val="00B32574"/>
    <w:rsid w:val="00B338C2"/>
    <w:rsid w:val="00B33FA3"/>
    <w:rsid w:val="00B37432"/>
    <w:rsid w:val="00B37D44"/>
    <w:rsid w:val="00B41A4D"/>
    <w:rsid w:val="00B4345F"/>
    <w:rsid w:val="00B5711D"/>
    <w:rsid w:val="00B6195A"/>
    <w:rsid w:val="00B678E3"/>
    <w:rsid w:val="00B76FF5"/>
    <w:rsid w:val="00B81338"/>
    <w:rsid w:val="00B846D2"/>
    <w:rsid w:val="00B86CAE"/>
    <w:rsid w:val="00B870BF"/>
    <w:rsid w:val="00B90773"/>
    <w:rsid w:val="00B94F78"/>
    <w:rsid w:val="00B95DC5"/>
    <w:rsid w:val="00B96E71"/>
    <w:rsid w:val="00BA33DF"/>
    <w:rsid w:val="00BA3A10"/>
    <w:rsid w:val="00BB0951"/>
    <w:rsid w:val="00BB2221"/>
    <w:rsid w:val="00BB2AF8"/>
    <w:rsid w:val="00BB5D5B"/>
    <w:rsid w:val="00BB6FE9"/>
    <w:rsid w:val="00BC4985"/>
    <w:rsid w:val="00BC5665"/>
    <w:rsid w:val="00BD1315"/>
    <w:rsid w:val="00BD3360"/>
    <w:rsid w:val="00BD49E3"/>
    <w:rsid w:val="00BD7078"/>
    <w:rsid w:val="00BF5626"/>
    <w:rsid w:val="00BF5B9D"/>
    <w:rsid w:val="00C0165C"/>
    <w:rsid w:val="00C03D6E"/>
    <w:rsid w:val="00C11CA5"/>
    <w:rsid w:val="00C13ABF"/>
    <w:rsid w:val="00C141B7"/>
    <w:rsid w:val="00C15BA4"/>
    <w:rsid w:val="00C2238B"/>
    <w:rsid w:val="00C254A8"/>
    <w:rsid w:val="00C31326"/>
    <w:rsid w:val="00C36D46"/>
    <w:rsid w:val="00C40207"/>
    <w:rsid w:val="00C44880"/>
    <w:rsid w:val="00C46345"/>
    <w:rsid w:val="00C46790"/>
    <w:rsid w:val="00C471B0"/>
    <w:rsid w:val="00C50A90"/>
    <w:rsid w:val="00C515F5"/>
    <w:rsid w:val="00C52AE5"/>
    <w:rsid w:val="00C52C00"/>
    <w:rsid w:val="00C532B4"/>
    <w:rsid w:val="00C55568"/>
    <w:rsid w:val="00C563EE"/>
    <w:rsid w:val="00C57D95"/>
    <w:rsid w:val="00C60FAE"/>
    <w:rsid w:val="00C619DD"/>
    <w:rsid w:val="00C6254A"/>
    <w:rsid w:val="00C633D6"/>
    <w:rsid w:val="00C714DC"/>
    <w:rsid w:val="00C7429D"/>
    <w:rsid w:val="00C84D73"/>
    <w:rsid w:val="00C84E8B"/>
    <w:rsid w:val="00C85A11"/>
    <w:rsid w:val="00C902CD"/>
    <w:rsid w:val="00C97385"/>
    <w:rsid w:val="00CA001B"/>
    <w:rsid w:val="00CA1A61"/>
    <w:rsid w:val="00CA3867"/>
    <w:rsid w:val="00CA4938"/>
    <w:rsid w:val="00CA64DF"/>
    <w:rsid w:val="00CA67B7"/>
    <w:rsid w:val="00CB6420"/>
    <w:rsid w:val="00CB7046"/>
    <w:rsid w:val="00CB7E14"/>
    <w:rsid w:val="00CC1B4D"/>
    <w:rsid w:val="00CC1B6B"/>
    <w:rsid w:val="00CC3768"/>
    <w:rsid w:val="00CC6D9E"/>
    <w:rsid w:val="00CD37C6"/>
    <w:rsid w:val="00CD4796"/>
    <w:rsid w:val="00CE016E"/>
    <w:rsid w:val="00CE4EA0"/>
    <w:rsid w:val="00CE6A39"/>
    <w:rsid w:val="00CF0030"/>
    <w:rsid w:val="00CF24ED"/>
    <w:rsid w:val="00CF6A44"/>
    <w:rsid w:val="00D00B2A"/>
    <w:rsid w:val="00D0461D"/>
    <w:rsid w:val="00D073C8"/>
    <w:rsid w:val="00D12C02"/>
    <w:rsid w:val="00D1440B"/>
    <w:rsid w:val="00D16698"/>
    <w:rsid w:val="00D1722C"/>
    <w:rsid w:val="00D25594"/>
    <w:rsid w:val="00D26D1B"/>
    <w:rsid w:val="00D30439"/>
    <w:rsid w:val="00D329FD"/>
    <w:rsid w:val="00D33155"/>
    <w:rsid w:val="00D33C3A"/>
    <w:rsid w:val="00D352AD"/>
    <w:rsid w:val="00D5615C"/>
    <w:rsid w:val="00D5794B"/>
    <w:rsid w:val="00D65ED1"/>
    <w:rsid w:val="00D66133"/>
    <w:rsid w:val="00D66158"/>
    <w:rsid w:val="00D67FC9"/>
    <w:rsid w:val="00D702A8"/>
    <w:rsid w:val="00D75A12"/>
    <w:rsid w:val="00D77D2C"/>
    <w:rsid w:val="00D8691D"/>
    <w:rsid w:val="00D908EC"/>
    <w:rsid w:val="00D90A98"/>
    <w:rsid w:val="00D92D9E"/>
    <w:rsid w:val="00DA4153"/>
    <w:rsid w:val="00DA4A7B"/>
    <w:rsid w:val="00DA5076"/>
    <w:rsid w:val="00DB0A72"/>
    <w:rsid w:val="00DB16C4"/>
    <w:rsid w:val="00DB3D7C"/>
    <w:rsid w:val="00DB69BC"/>
    <w:rsid w:val="00DB69E2"/>
    <w:rsid w:val="00DB713B"/>
    <w:rsid w:val="00DC0E96"/>
    <w:rsid w:val="00DC503F"/>
    <w:rsid w:val="00DC5CAE"/>
    <w:rsid w:val="00DD77E4"/>
    <w:rsid w:val="00DD7DD5"/>
    <w:rsid w:val="00DE223C"/>
    <w:rsid w:val="00DE6C82"/>
    <w:rsid w:val="00DE7920"/>
    <w:rsid w:val="00DF2189"/>
    <w:rsid w:val="00DF22A0"/>
    <w:rsid w:val="00DF4485"/>
    <w:rsid w:val="00E01C49"/>
    <w:rsid w:val="00E04BC6"/>
    <w:rsid w:val="00E05FDA"/>
    <w:rsid w:val="00E065FA"/>
    <w:rsid w:val="00E12DD8"/>
    <w:rsid w:val="00E147F8"/>
    <w:rsid w:val="00E16D5A"/>
    <w:rsid w:val="00E20CE4"/>
    <w:rsid w:val="00E22D66"/>
    <w:rsid w:val="00E30421"/>
    <w:rsid w:val="00E340A9"/>
    <w:rsid w:val="00E403AB"/>
    <w:rsid w:val="00E44503"/>
    <w:rsid w:val="00E45431"/>
    <w:rsid w:val="00E46304"/>
    <w:rsid w:val="00E475A5"/>
    <w:rsid w:val="00E60551"/>
    <w:rsid w:val="00E62853"/>
    <w:rsid w:val="00E63C90"/>
    <w:rsid w:val="00E6469B"/>
    <w:rsid w:val="00E65304"/>
    <w:rsid w:val="00E67CFC"/>
    <w:rsid w:val="00E719FD"/>
    <w:rsid w:val="00E71F89"/>
    <w:rsid w:val="00E77F20"/>
    <w:rsid w:val="00E80C3B"/>
    <w:rsid w:val="00E835E7"/>
    <w:rsid w:val="00E83AD0"/>
    <w:rsid w:val="00E913B3"/>
    <w:rsid w:val="00E92981"/>
    <w:rsid w:val="00E9667C"/>
    <w:rsid w:val="00E96C61"/>
    <w:rsid w:val="00E9723E"/>
    <w:rsid w:val="00EA21D2"/>
    <w:rsid w:val="00EB15AF"/>
    <w:rsid w:val="00EB3A76"/>
    <w:rsid w:val="00EB5D7F"/>
    <w:rsid w:val="00EC6B03"/>
    <w:rsid w:val="00EC7016"/>
    <w:rsid w:val="00ED1017"/>
    <w:rsid w:val="00ED185C"/>
    <w:rsid w:val="00ED2F69"/>
    <w:rsid w:val="00ED5CE4"/>
    <w:rsid w:val="00EE6D25"/>
    <w:rsid w:val="00EE7011"/>
    <w:rsid w:val="00EF0DB5"/>
    <w:rsid w:val="00F01972"/>
    <w:rsid w:val="00F075B6"/>
    <w:rsid w:val="00F1136C"/>
    <w:rsid w:val="00F12269"/>
    <w:rsid w:val="00F12833"/>
    <w:rsid w:val="00F12E83"/>
    <w:rsid w:val="00F15430"/>
    <w:rsid w:val="00F1572A"/>
    <w:rsid w:val="00F16101"/>
    <w:rsid w:val="00F17181"/>
    <w:rsid w:val="00F207E0"/>
    <w:rsid w:val="00F210F1"/>
    <w:rsid w:val="00F227BC"/>
    <w:rsid w:val="00F247F8"/>
    <w:rsid w:val="00F26FD5"/>
    <w:rsid w:val="00F37BF3"/>
    <w:rsid w:val="00F424B0"/>
    <w:rsid w:val="00F42AA1"/>
    <w:rsid w:val="00F4460A"/>
    <w:rsid w:val="00F52FD4"/>
    <w:rsid w:val="00F54BDC"/>
    <w:rsid w:val="00F55CFF"/>
    <w:rsid w:val="00F60E89"/>
    <w:rsid w:val="00F65E7D"/>
    <w:rsid w:val="00F66C4C"/>
    <w:rsid w:val="00F70DE7"/>
    <w:rsid w:val="00F72879"/>
    <w:rsid w:val="00F736C4"/>
    <w:rsid w:val="00F74EA7"/>
    <w:rsid w:val="00F76D91"/>
    <w:rsid w:val="00F82A49"/>
    <w:rsid w:val="00F82E0C"/>
    <w:rsid w:val="00F87BF3"/>
    <w:rsid w:val="00F87ED1"/>
    <w:rsid w:val="00F90BC1"/>
    <w:rsid w:val="00F9213E"/>
    <w:rsid w:val="00F9234B"/>
    <w:rsid w:val="00F93013"/>
    <w:rsid w:val="00F93892"/>
    <w:rsid w:val="00F97C39"/>
    <w:rsid w:val="00FA363D"/>
    <w:rsid w:val="00FA3A56"/>
    <w:rsid w:val="00FA5DA4"/>
    <w:rsid w:val="00FA7CCB"/>
    <w:rsid w:val="00FB147B"/>
    <w:rsid w:val="00FC0069"/>
    <w:rsid w:val="00FC1B34"/>
    <w:rsid w:val="00FC34E5"/>
    <w:rsid w:val="00FC3CB2"/>
    <w:rsid w:val="00FC71C7"/>
    <w:rsid w:val="00FD1A0E"/>
    <w:rsid w:val="00FD5E4A"/>
    <w:rsid w:val="00FE2DAD"/>
    <w:rsid w:val="00FE354C"/>
    <w:rsid w:val="00FE6AB5"/>
    <w:rsid w:val="00FF2D71"/>
    <w:rsid w:val="00FF37BD"/>
    <w:rsid w:val="00FF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7DDDD"/>
  <w15:docId w15:val="{7BD87413-0CA1-4301-903C-16F9E9AD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55568"/>
    <w:pPr>
      <w:jc w:val="both"/>
    </w:pPr>
    <w:rPr>
      <w:rFonts w:ascii="Arial" w:hAnsi="Arial"/>
      <w:sz w:val="22"/>
      <w:szCs w:val="24"/>
    </w:rPr>
  </w:style>
  <w:style w:type="paragraph" w:styleId="Heading1">
    <w:name w:val="heading 1"/>
    <w:basedOn w:val="Normal"/>
    <w:next w:val="Normal"/>
    <w:link w:val="Heading1Char"/>
    <w:rsid w:val="00405AB9"/>
    <w:pPr>
      <w:keepNext/>
      <w:spacing w:before="240" w:after="240"/>
      <w:ind w:left="357" w:hanging="357"/>
      <w:outlineLvl w:val="0"/>
    </w:pPr>
    <w:rPr>
      <w:rFonts w:eastAsiaTheme="majorEastAsia" w:cstheme="majorBidi"/>
      <w:b/>
      <w:bCs/>
      <w:color w:val="7E317B"/>
      <w:kern w:val="32"/>
      <w:szCs w:val="32"/>
    </w:rPr>
  </w:style>
  <w:style w:type="paragraph" w:styleId="Heading2">
    <w:name w:val="heading 2"/>
    <w:basedOn w:val="Normal"/>
    <w:next w:val="Normal"/>
    <w:link w:val="Heading2Char"/>
    <w:autoRedefine/>
    <w:unhideWhenUsed/>
    <w:rsid w:val="00B0210C"/>
    <w:pPr>
      <w:tabs>
        <w:tab w:val="left" w:pos="993"/>
      </w:tabs>
      <w:spacing w:before="60" w:after="60"/>
      <w:ind w:left="992" w:hanging="635"/>
      <w:outlineLvl w:val="1"/>
    </w:pPr>
    <w:rPr>
      <w:b/>
    </w:rPr>
  </w:style>
  <w:style w:type="paragraph" w:styleId="Heading3">
    <w:name w:val="heading 3"/>
    <w:basedOn w:val="Normal"/>
    <w:next w:val="NormalIndent"/>
    <w:link w:val="Heading3Char"/>
    <w:unhideWhenUsed/>
    <w:rsid w:val="000473FE"/>
    <w:pPr>
      <w:keepNext/>
      <w:numPr>
        <w:ilvl w:val="2"/>
        <w:numId w:val="1"/>
      </w:numPr>
      <w:spacing w:before="240" w:after="240"/>
      <w:ind w:left="1712"/>
      <w:outlineLvl w:val="2"/>
    </w:pPr>
    <w:rPr>
      <w:rFonts w:eastAsiaTheme="majorEastAsia" w:cstheme="majorBidi"/>
      <w:b/>
      <w:bCs/>
      <w:i/>
      <w:szCs w:val="26"/>
    </w:rPr>
  </w:style>
  <w:style w:type="paragraph" w:styleId="Heading4">
    <w:name w:val="heading 4"/>
    <w:basedOn w:val="Normal"/>
    <w:next w:val="Normal"/>
    <w:link w:val="Heading4Char"/>
    <w:semiHidden/>
    <w:unhideWhenUsed/>
    <w:rsid w:val="00CD479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D479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CD4796"/>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CD4796"/>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CD4796"/>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CD4796"/>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AB9"/>
    <w:rPr>
      <w:rFonts w:ascii="Arial" w:eastAsiaTheme="majorEastAsia" w:hAnsi="Arial" w:cstheme="majorBidi"/>
      <w:b/>
      <w:bCs/>
      <w:color w:val="7E317B"/>
      <w:kern w:val="32"/>
      <w:sz w:val="22"/>
      <w:szCs w:val="32"/>
    </w:rPr>
  </w:style>
  <w:style w:type="table" w:styleId="TableGrid">
    <w:name w:val="Table Grid"/>
    <w:basedOn w:val="TableNormal"/>
    <w:uiPriority w:val="39"/>
    <w:rsid w:val="0092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E60DB"/>
    <w:pPr>
      <w:tabs>
        <w:tab w:val="left" w:pos="284"/>
        <w:tab w:val="right" w:leader="dot" w:pos="9628"/>
      </w:tabs>
      <w:spacing w:before="60" w:after="60"/>
    </w:pPr>
  </w:style>
  <w:style w:type="paragraph" w:styleId="TOC2">
    <w:name w:val="toc 2"/>
    <w:basedOn w:val="Normal"/>
    <w:next w:val="Normal"/>
    <w:autoRedefine/>
    <w:uiPriority w:val="39"/>
    <w:rsid w:val="005E60DB"/>
    <w:pPr>
      <w:tabs>
        <w:tab w:val="left" w:pos="851"/>
        <w:tab w:val="right" w:leader="dot" w:pos="9628"/>
      </w:tabs>
      <w:spacing w:before="60" w:after="60"/>
      <w:ind w:left="238"/>
    </w:pPr>
  </w:style>
  <w:style w:type="paragraph" w:styleId="TOC3">
    <w:name w:val="toc 3"/>
    <w:basedOn w:val="Normal"/>
    <w:next w:val="Normal"/>
    <w:autoRedefine/>
    <w:uiPriority w:val="39"/>
    <w:rsid w:val="0092011E"/>
    <w:pPr>
      <w:ind w:left="480"/>
    </w:pPr>
  </w:style>
  <w:style w:type="paragraph" w:customStyle="1" w:styleId="StyleHeading2Firstline0cm">
    <w:name w:val="Style Heading 2 + First line:  0 cm"/>
    <w:basedOn w:val="Heading2"/>
    <w:next w:val="Normal"/>
    <w:rsid w:val="007C2F9F"/>
    <w:pPr>
      <w:ind w:firstLine="0"/>
    </w:pPr>
    <w:rPr>
      <w:bCs/>
      <w:szCs w:val="20"/>
    </w:rPr>
  </w:style>
  <w:style w:type="character" w:customStyle="1" w:styleId="Heading2Char">
    <w:name w:val="Heading 2 Char"/>
    <w:basedOn w:val="DefaultParagraphFont"/>
    <w:link w:val="Heading2"/>
    <w:rsid w:val="00B0210C"/>
    <w:rPr>
      <w:rFonts w:ascii="Arial" w:hAnsi="Arial"/>
      <w:b/>
      <w:sz w:val="22"/>
      <w:szCs w:val="24"/>
    </w:rPr>
  </w:style>
  <w:style w:type="paragraph" w:customStyle="1" w:styleId="Style1">
    <w:name w:val="Style1"/>
    <w:basedOn w:val="Normal"/>
    <w:link w:val="Style1Char"/>
    <w:rsid w:val="000D13E6"/>
    <w:pPr>
      <w:ind w:left="576" w:hanging="576"/>
    </w:pPr>
    <w:rPr>
      <w:b/>
    </w:rPr>
  </w:style>
  <w:style w:type="character" w:customStyle="1" w:styleId="Style1Char">
    <w:name w:val="Style1 Char"/>
    <w:basedOn w:val="DefaultParagraphFont"/>
    <w:link w:val="Style1"/>
    <w:rsid w:val="000D13E6"/>
    <w:rPr>
      <w:rFonts w:ascii="Arial" w:hAnsi="Arial"/>
      <w:b/>
      <w:sz w:val="22"/>
      <w:szCs w:val="24"/>
    </w:rPr>
  </w:style>
  <w:style w:type="character" w:styleId="Hyperlink">
    <w:name w:val="Hyperlink"/>
    <w:basedOn w:val="DefaultParagraphFont"/>
    <w:uiPriority w:val="99"/>
    <w:unhideWhenUsed/>
    <w:rsid w:val="007C2F9F"/>
    <w:rPr>
      <w:color w:val="0000FF" w:themeColor="hyperlink"/>
      <w:u w:val="single"/>
    </w:rPr>
  </w:style>
  <w:style w:type="paragraph" w:styleId="ListParagraph">
    <w:name w:val="List Paragraph"/>
    <w:basedOn w:val="Normal"/>
    <w:uiPriority w:val="34"/>
    <w:qFormat/>
    <w:rsid w:val="00F4460A"/>
    <w:pPr>
      <w:numPr>
        <w:numId w:val="3"/>
      </w:numPr>
      <w:contextualSpacing/>
    </w:pPr>
    <w:rPr>
      <w:rFonts w:eastAsiaTheme="minorHAnsi" w:cstheme="minorBidi"/>
      <w:szCs w:val="22"/>
      <w:lang w:eastAsia="en-US"/>
    </w:rPr>
  </w:style>
  <w:style w:type="character" w:customStyle="1" w:styleId="Heading3Char">
    <w:name w:val="Heading 3 Char"/>
    <w:basedOn w:val="DefaultParagraphFont"/>
    <w:link w:val="Heading3"/>
    <w:rsid w:val="000473FE"/>
    <w:rPr>
      <w:rFonts w:ascii="Arial" w:eastAsiaTheme="majorEastAsia" w:hAnsi="Arial" w:cstheme="majorBidi"/>
      <w:b/>
      <w:bCs/>
      <w:i/>
      <w:sz w:val="22"/>
      <w:szCs w:val="26"/>
    </w:rPr>
  </w:style>
  <w:style w:type="character" w:customStyle="1" w:styleId="Heading4Char">
    <w:name w:val="Heading 4 Char"/>
    <w:basedOn w:val="DefaultParagraphFont"/>
    <w:link w:val="Heading4"/>
    <w:semiHidden/>
    <w:rsid w:val="00CD479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CD479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CD479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CD4796"/>
    <w:rPr>
      <w:rFonts w:asciiTheme="minorHAnsi" w:eastAsiaTheme="minorEastAsia" w:hAnsiTheme="minorHAnsi" w:cstheme="minorBidi"/>
      <w:sz w:val="22"/>
      <w:szCs w:val="24"/>
    </w:rPr>
  </w:style>
  <w:style w:type="character" w:customStyle="1" w:styleId="Heading8Char">
    <w:name w:val="Heading 8 Char"/>
    <w:basedOn w:val="DefaultParagraphFont"/>
    <w:link w:val="Heading8"/>
    <w:semiHidden/>
    <w:rsid w:val="00CD4796"/>
    <w:rPr>
      <w:rFonts w:asciiTheme="minorHAnsi" w:eastAsiaTheme="minorEastAsia" w:hAnsiTheme="minorHAnsi" w:cstheme="minorBidi"/>
      <w:i/>
      <w:iCs/>
      <w:sz w:val="22"/>
      <w:szCs w:val="24"/>
    </w:rPr>
  </w:style>
  <w:style w:type="character" w:customStyle="1" w:styleId="Heading9Char">
    <w:name w:val="Heading 9 Char"/>
    <w:basedOn w:val="DefaultParagraphFont"/>
    <w:link w:val="Heading9"/>
    <w:semiHidden/>
    <w:rsid w:val="00CD4796"/>
    <w:rPr>
      <w:rFonts w:asciiTheme="majorHAnsi" w:eastAsiaTheme="majorEastAsia" w:hAnsiTheme="majorHAnsi" w:cstheme="majorBidi"/>
      <w:sz w:val="22"/>
      <w:szCs w:val="22"/>
    </w:rPr>
  </w:style>
  <w:style w:type="numbering" w:customStyle="1" w:styleId="StyleBulletedSymbolsymbolLeft126cmHanging063cm">
    <w:name w:val="Style Bulleted Symbol (symbol) Left:  1.26 cm Hanging:  0.63 cm"/>
    <w:basedOn w:val="NoList"/>
    <w:rsid w:val="00A47F8D"/>
    <w:pPr>
      <w:numPr>
        <w:numId w:val="2"/>
      </w:numPr>
    </w:pPr>
  </w:style>
  <w:style w:type="paragraph" w:styleId="NormalIndent">
    <w:name w:val="Normal Indent"/>
    <w:basedOn w:val="Normal"/>
    <w:rsid w:val="00A47F8D"/>
    <w:pPr>
      <w:ind w:left="992"/>
    </w:pPr>
  </w:style>
  <w:style w:type="numbering" w:customStyle="1" w:styleId="StyleStyleBulletedSymbolsymbolLeft126cmHanging063">
    <w:name w:val="Style Style Bulleted Symbol (symbol) Left:  1.26 cm Hanging:  0.63 ..."/>
    <w:basedOn w:val="NoList"/>
    <w:rsid w:val="00A47F8D"/>
    <w:pPr>
      <w:numPr>
        <w:numId w:val="4"/>
      </w:numPr>
    </w:pPr>
  </w:style>
  <w:style w:type="paragraph" w:styleId="Header">
    <w:name w:val="header"/>
    <w:basedOn w:val="Normal"/>
    <w:link w:val="HeaderChar"/>
    <w:uiPriority w:val="99"/>
    <w:rsid w:val="003D43DC"/>
    <w:pPr>
      <w:tabs>
        <w:tab w:val="center" w:pos="4513"/>
        <w:tab w:val="right" w:pos="9026"/>
      </w:tabs>
    </w:pPr>
  </w:style>
  <w:style w:type="character" w:customStyle="1" w:styleId="HeaderChar">
    <w:name w:val="Header Char"/>
    <w:basedOn w:val="DefaultParagraphFont"/>
    <w:link w:val="Header"/>
    <w:uiPriority w:val="99"/>
    <w:rsid w:val="003D43DC"/>
    <w:rPr>
      <w:rFonts w:ascii="Arial" w:hAnsi="Arial"/>
      <w:sz w:val="22"/>
      <w:szCs w:val="24"/>
    </w:rPr>
  </w:style>
  <w:style w:type="paragraph" w:styleId="Footer">
    <w:name w:val="footer"/>
    <w:basedOn w:val="Normal"/>
    <w:link w:val="FooterChar"/>
    <w:uiPriority w:val="99"/>
    <w:rsid w:val="003D43DC"/>
    <w:pPr>
      <w:tabs>
        <w:tab w:val="center" w:pos="4513"/>
        <w:tab w:val="right" w:pos="9026"/>
      </w:tabs>
    </w:pPr>
  </w:style>
  <w:style w:type="character" w:customStyle="1" w:styleId="FooterChar">
    <w:name w:val="Footer Char"/>
    <w:basedOn w:val="DefaultParagraphFont"/>
    <w:link w:val="Footer"/>
    <w:uiPriority w:val="99"/>
    <w:rsid w:val="003D43DC"/>
    <w:rPr>
      <w:rFonts w:ascii="Arial" w:hAnsi="Arial"/>
      <w:sz w:val="22"/>
      <w:szCs w:val="24"/>
    </w:rPr>
  </w:style>
  <w:style w:type="paragraph" w:customStyle="1" w:styleId="StyleHeading1CustomColorRGB12649123">
    <w:name w:val="Style Heading 1 + Custom Color(RGB(12649123))"/>
    <w:basedOn w:val="Heading1"/>
    <w:rsid w:val="00C2238B"/>
  </w:style>
  <w:style w:type="paragraph" w:styleId="BalloonText">
    <w:name w:val="Balloon Text"/>
    <w:basedOn w:val="Normal"/>
    <w:link w:val="BalloonTextChar"/>
    <w:rsid w:val="00B0210C"/>
    <w:rPr>
      <w:rFonts w:ascii="Tahoma" w:hAnsi="Tahoma" w:cs="Tahoma"/>
      <w:sz w:val="16"/>
      <w:szCs w:val="16"/>
    </w:rPr>
  </w:style>
  <w:style w:type="character" w:customStyle="1" w:styleId="BalloonTextChar">
    <w:name w:val="Balloon Text Char"/>
    <w:basedOn w:val="DefaultParagraphFont"/>
    <w:link w:val="BalloonText"/>
    <w:rsid w:val="00B0210C"/>
    <w:rPr>
      <w:rFonts w:ascii="Tahoma" w:hAnsi="Tahoma" w:cs="Tahoma"/>
      <w:sz w:val="16"/>
      <w:szCs w:val="16"/>
    </w:rPr>
  </w:style>
  <w:style w:type="paragraph" w:customStyle="1" w:styleId="ReportTitle">
    <w:name w:val="Report Title"/>
    <w:basedOn w:val="Heading1"/>
    <w:next w:val="Normal"/>
    <w:link w:val="ReportTitleChar"/>
    <w:qFormat/>
    <w:rsid w:val="008E5372"/>
    <w:pPr>
      <w:spacing w:before="0" w:after="0"/>
    </w:pPr>
    <w:rPr>
      <w:color w:val="auto"/>
    </w:rPr>
  </w:style>
  <w:style w:type="paragraph" w:customStyle="1" w:styleId="HeadingUnnumbered">
    <w:name w:val="Heading Unnumbered"/>
    <w:basedOn w:val="Heading1"/>
    <w:link w:val="HeadingUnnumberedChar"/>
    <w:rsid w:val="00E30421"/>
    <w:pPr>
      <w:spacing w:before="0" w:after="0"/>
      <w:ind w:left="0" w:firstLine="0"/>
    </w:pPr>
  </w:style>
  <w:style w:type="character" w:customStyle="1" w:styleId="ReportTitleChar">
    <w:name w:val="Report Title Char"/>
    <w:basedOn w:val="Heading1Char"/>
    <w:link w:val="ReportTitle"/>
    <w:rsid w:val="008E5372"/>
    <w:rPr>
      <w:rFonts w:ascii="Arial" w:eastAsiaTheme="majorEastAsia" w:hAnsi="Arial" w:cstheme="majorBidi"/>
      <w:b/>
      <w:bCs/>
      <w:color w:val="7E317B"/>
      <w:kern w:val="32"/>
      <w:sz w:val="22"/>
      <w:szCs w:val="32"/>
    </w:rPr>
  </w:style>
  <w:style w:type="paragraph" w:customStyle="1" w:styleId="NumberedHeading">
    <w:name w:val="Numbered Heading"/>
    <w:basedOn w:val="Heading1"/>
    <w:next w:val="TextunderNumbered"/>
    <w:link w:val="NumberedHeadingChar"/>
    <w:qFormat/>
    <w:rsid w:val="00BD49E3"/>
    <w:pPr>
      <w:numPr>
        <w:numId w:val="21"/>
      </w:numPr>
      <w:tabs>
        <w:tab w:val="left" w:pos="567"/>
      </w:tabs>
      <w:spacing w:before="0"/>
    </w:pPr>
    <w:rPr>
      <w:color w:val="68246D"/>
      <w:szCs w:val="24"/>
    </w:rPr>
  </w:style>
  <w:style w:type="character" w:customStyle="1" w:styleId="HeadingUnnumberedChar">
    <w:name w:val="Heading Unnumbered Char"/>
    <w:basedOn w:val="Heading1Char"/>
    <w:link w:val="HeadingUnnumbered"/>
    <w:rsid w:val="00E30421"/>
    <w:rPr>
      <w:rFonts w:ascii="Arial" w:eastAsiaTheme="majorEastAsia" w:hAnsi="Arial" w:cstheme="majorBidi"/>
      <w:b/>
      <w:bCs/>
      <w:color w:val="7E317B"/>
      <w:kern w:val="32"/>
      <w:sz w:val="22"/>
      <w:szCs w:val="32"/>
    </w:rPr>
  </w:style>
  <w:style w:type="character" w:styleId="Strong">
    <w:name w:val="Strong"/>
    <w:basedOn w:val="DefaultParagraphFont"/>
    <w:rsid w:val="00C7429D"/>
    <w:rPr>
      <w:b/>
      <w:bCs/>
    </w:rPr>
  </w:style>
  <w:style w:type="character" w:customStyle="1" w:styleId="NumberedHeadingChar">
    <w:name w:val="Numbered Heading Char"/>
    <w:basedOn w:val="Heading1Char"/>
    <w:link w:val="NumberedHeading"/>
    <w:uiPriority w:val="2"/>
    <w:rsid w:val="00BD49E3"/>
    <w:rPr>
      <w:rFonts w:ascii="Arial" w:eastAsiaTheme="majorEastAsia" w:hAnsi="Arial" w:cstheme="majorBidi"/>
      <w:b/>
      <w:bCs/>
      <w:color w:val="68246D"/>
      <w:kern w:val="32"/>
      <w:sz w:val="22"/>
      <w:szCs w:val="24"/>
    </w:rPr>
  </w:style>
  <w:style w:type="paragraph" w:customStyle="1" w:styleId="TextunderNumbered">
    <w:name w:val="Text under Numbered"/>
    <w:basedOn w:val="Normal"/>
    <w:link w:val="TextunderNumberedChar"/>
    <w:uiPriority w:val="99"/>
    <w:qFormat/>
    <w:rsid w:val="00BD49E3"/>
    <w:pPr>
      <w:numPr>
        <w:ilvl w:val="1"/>
        <w:numId w:val="21"/>
      </w:numPr>
      <w:shd w:val="clear" w:color="auto" w:fill="FFFFFF" w:themeFill="background1"/>
      <w:spacing w:after="240"/>
    </w:pPr>
  </w:style>
  <w:style w:type="character" w:customStyle="1" w:styleId="TextunderNumberedChar">
    <w:name w:val="Text under Numbered Char"/>
    <w:basedOn w:val="DefaultParagraphFont"/>
    <w:link w:val="TextunderNumbered"/>
    <w:uiPriority w:val="99"/>
    <w:rsid w:val="00BD49E3"/>
    <w:rPr>
      <w:rFonts w:ascii="Arial" w:hAnsi="Arial"/>
      <w:sz w:val="22"/>
      <w:szCs w:val="24"/>
      <w:shd w:val="clear" w:color="auto" w:fill="FFFFFF" w:themeFill="background1"/>
    </w:rPr>
  </w:style>
  <w:style w:type="paragraph" w:styleId="NoteHeading">
    <w:name w:val="Note Heading"/>
    <w:basedOn w:val="Normal"/>
    <w:next w:val="Normal"/>
    <w:link w:val="NoteHeadingChar"/>
    <w:rsid w:val="00041D2C"/>
  </w:style>
  <w:style w:type="character" w:customStyle="1" w:styleId="NoteHeadingChar">
    <w:name w:val="Note Heading Char"/>
    <w:basedOn w:val="DefaultParagraphFont"/>
    <w:link w:val="NoteHeading"/>
    <w:rsid w:val="00041D2C"/>
    <w:rPr>
      <w:rFonts w:ascii="Arial" w:hAnsi="Arial"/>
      <w:sz w:val="22"/>
      <w:szCs w:val="24"/>
    </w:rPr>
  </w:style>
  <w:style w:type="paragraph" w:customStyle="1" w:styleId="NumberIndented">
    <w:name w:val="Number Indented"/>
    <w:basedOn w:val="TextunderNumbered"/>
    <w:link w:val="NumberIndentedChar"/>
    <w:uiPriority w:val="4"/>
    <w:qFormat/>
    <w:rsid w:val="00406425"/>
    <w:pPr>
      <w:numPr>
        <w:ilvl w:val="2"/>
      </w:numPr>
      <w:ind w:left="1287"/>
    </w:pPr>
  </w:style>
  <w:style w:type="character" w:customStyle="1" w:styleId="NumberIndentedChar">
    <w:name w:val="Number Indented Char"/>
    <w:basedOn w:val="TextunderNumberedChar"/>
    <w:link w:val="NumberIndented"/>
    <w:uiPriority w:val="4"/>
    <w:rsid w:val="008C186B"/>
    <w:rPr>
      <w:rFonts w:ascii="Arial" w:hAnsi="Arial"/>
      <w:sz w:val="22"/>
      <w:szCs w:val="24"/>
      <w:shd w:val="clear" w:color="auto" w:fill="FFFFFF" w:themeFill="background1"/>
    </w:rPr>
  </w:style>
  <w:style w:type="character" w:styleId="CommentReference">
    <w:name w:val="annotation reference"/>
    <w:basedOn w:val="DefaultParagraphFont"/>
    <w:rsid w:val="00877CCE"/>
    <w:rPr>
      <w:sz w:val="16"/>
      <w:szCs w:val="16"/>
    </w:rPr>
  </w:style>
  <w:style w:type="paragraph" w:styleId="CommentText">
    <w:name w:val="annotation text"/>
    <w:basedOn w:val="Normal"/>
    <w:link w:val="CommentTextChar"/>
    <w:rsid w:val="00877CCE"/>
    <w:rPr>
      <w:sz w:val="20"/>
      <w:szCs w:val="20"/>
    </w:rPr>
  </w:style>
  <w:style w:type="character" w:customStyle="1" w:styleId="CommentTextChar">
    <w:name w:val="Comment Text Char"/>
    <w:basedOn w:val="DefaultParagraphFont"/>
    <w:link w:val="CommentText"/>
    <w:rsid w:val="00877CCE"/>
    <w:rPr>
      <w:rFonts w:ascii="Arial" w:hAnsi="Arial"/>
    </w:rPr>
  </w:style>
  <w:style w:type="paragraph" w:styleId="CommentSubject">
    <w:name w:val="annotation subject"/>
    <w:basedOn w:val="CommentText"/>
    <w:next w:val="CommentText"/>
    <w:link w:val="CommentSubjectChar"/>
    <w:rsid w:val="00877CCE"/>
    <w:rPr>
      <w:b/>
      <w:bCs/>
    </w:rPr>
  </w:style>
  <w:style w:type="character" w:customStyle="1" w:styleId="CommentSubjectChar">
    <w:name w:val="Comment Subject Char"/>
    <w:basedOn w:val="CommentTextChar"/>
    <w:link w:val="CommentSubject"/>
    <w:rsid w:val="00877CCE"/>
    <w:rPr>
      <w:rFonts w:ascii="Arial" w:hAnsi="Arial"/>
      <w:b/>
      <w:bCs/>
    </w:rPr>
  </w:style>
  <w:style w:type="character" w:styleId="FollowedHyperlink">
    <w:name w:val="FollowedHyperlink"/>
    <w:basedOn w:val="DefaultParagraphFont"/>
    <w:semiHidden/>
    <w:unhideWhenUsed/>
    <w:rsid w:val="009E6068"/>
    <w:rPr>
      <w:color w:val="800080" w:themeColor="followedHyperlink"/>
      <w:u w:val="single"/>
    </w:rPr>
  </w:style>
  <w:style w:type="character" w:customStyle="1" w:styleId="UnresolvedMention1">
    <w:name w:val="Unresolved Mention1"/>
    <w:basedOn w:val="DefaultParagraphFont"/>
    <w:uiPriority w:val="99"/>
    <w:semiHidden/>
    <w:unhideWhenUsed/>
    <w:rsid w:val="00AF037D"/>
    <w:rPr>
      <w:color w:val="605E5C"/>
      <w:shd w:val="clear" w:color="auto" w:fill="E1DFDD"/>
    </w:rPr>
  </w:style>
  <w:style w:type="character" w:styleId="UnresolvedMention">
    <w:name w:val="Unresolved Mention"/>
    <w:basedOn w:val="DefaultParagraphFont"/>
    <w:uiPriority w:val="99"/>
    <w:semiHidden/>
    <w:unhideWhenUsed/>
    <w:rsid w:val="00041B91"/>
    <w:rPr>
      <w:color w:val="605E5C"/>
      <w:shd w:val="clear" w:color="auto" w:fill="E1DFDD"/>
    </w:rPr>
  </w:style>
  <w:style w:type="paragraph" w:styleId="Revision">
    <w:name w:val="Revision"/>
    <w:hidden/>
    <w:uiPriority w:val="99"/>
    <w:semiHidden/>
    <w:rsid w:val="00794953"/>
    <w:rPr>
      <w:rFonts w:ascii="Arial" w:hAnsi="Arial"/>
      <w:sz w:val="22"/>
      <w:szCs w:val="24"/>
    </w:rPr>
  </w:style>
  <w:style w:type="paragraph" w:styleId="FootnoteText">
    <w:name w:val="footnote text"/>
    <w:basedOn w:val="Normal"/>
    <w:link w:val="FootnoteTextChar"/>
    <w:unhideWhenUsed/>
    <w:rsid w:val="00B678E3"/>
    <w:rPr>
      <w:sz w:val="20"/>
      <w:szCs w:val="20"/>
    </w:rPr>
  </w:style>
  <w:style w:type="character" w:customStyle="1" w:styleId="FootnoteTextChar">
    <w:name w:val="Footnote Text Char"/>
    <w:basedOn w:val="DefaultParagraphFont"/>
    <w:link w:val="FootnoteText"/>
    <w:rsid w:val="00B678E3"/>
    <w:rPr>
      <w:rFonts w:ascii="Arial" w:hAnsi="Arial"/>
    </w:rPr>
  </w:style>
  <w:style w:type="character" w:styleId="FootnoteReference">
    <w:name w:val="footnote reference"/>
    <w:basedOn w:val="DefaultParagraphFont"/>
    <w:uiPriority w:val="99"/>
    <w:unhideWhenUsed/>
    <w:rsid w:val="00B678E3"/>
    <w:rPr>
      <w:vertAlign w:val="superscript"/>
    </w:rPr>
  </w:style>
  <w:style w:type="table" w:customStyle="1" w:styleId="GridTable4-Accent31">
    <w:name w:val="Grid Table 4 - Accent 31"/>
    <w:basedOn w:val="TableNormal"/>
    <w:next w:val="GridTable4-Accent3"/>
    <w:uiPriority w:val="49"/>
    <w:rsid w:val="00C532B4"/>
    <w:pPr>
      <w:widowControl w:val="0"/>
    </w:pPr>
    <w:rPr>
      <w:rFonts w:ascii="Calibri" w:eastAsia="Calibri" w:hAnsi="Calibri"/>
      <w:sz w:val="22"/>
      <w:szCs w:val="22"/>
      <w:lang w:val="en-US" w:eastAsia="en-US"/>
    </w:rPr>
    <w:tblPr>
      <w:tblStyleRowBandSize w:val="1"/>
      <w:tblStyleColBandSize w:val="1"/>
      <w:tblBorders>
        <w:top w:val="single" w:sz="4" w:space="0" w:color="C8DDE2"/>
        <w:left w:val="single" w:sz="4" w:space="0" w:color="C8DDE2"/>
        <w:bottom w:val="single" w:sz="4" w:space="0" w:color="C8DDE2"/>
        <w:right w:val="single" w:sz="4" w:space="0" w:color="C8DDE2"/>
        <w:insideH w:val="single" w:sz="4" w:space="0" w:color="C8DDE2"/>
        <w:insideV w:val="single" w:sz="4" w:space="0" w:color="C8DDE2"/>
      </w:tblBorders>
    </w:tblPr>
    <w:tblStylePr w:type="firstRow">
      <w:rPr>
        <w:b/>
        <w:bCs/>
        <w:color w:val="FFFFFF"/>
      </w:rPr>
      <w:tblPr/>
      <w:tcPr>
        <w:tcBorders>
          <w:top w:val="single" w:sz="4" w:space="0" w:color="A5C8D0"/>
          <w:left w:val="single" w:sz="4" w:space="0" w:color="A5C8D0"/>
          <w:bottom w:val="single" w:sz="4" w:space="0" w:color="A5C8D0"/>
          <w:right w:val="single" w:sz="4" w:space="0" w:color="A5C8D0"/>
          <w:insideH w:val="nil"/>
          <w:insideV w:val="nil"/>
        </w:tcBorders>
        <w:shd w:val="clear" w:color="auto" w:fill="A5C8D0"/>
      </w:tcPr>
    </w:tblStylePr>
    <w:tblStylePr w:type="lastRow">
      <w:rPr>
        <w:b/>
        <w:bCs/>
      </w:rPr>
      <w:tblPr/>
      <w:tcPr>
        <w:tcBorders>
          <w:top w:val="double" w:sz="4" w:space="0" w:color="A5C8D0"/>
        </w:tcBorders>
      </w:tcPr>
    </w:tblStylePr>
    <w:tblStylePr w:type="firstCol">
      <w:rPr>
        <w:b/>
        <w:bCs/>
      </w:rPr>
    </w:tblStylePr>
    <w:tblStylePr w:type="lastCol">
      <w:rPr>
        <w:b/>
        <w:bCs/>
      </w:rPr>
    </w:tblStylePr>
    <w:tblStylePr w:type="band1Vert">
      <w:tblPr/>
      <w:tcPr>
        <w:shd w:val="clear" w:color="auto" w:fill="ECF3F5"/>
      </w:tcPr>
    </w:tblStylePr>
    <w:tblStylePr w:type="band1Horz">
      <w:tblPr/>
      <w:tcPr>
        <w:shd w:val="clear" w:color="auto" w:fill="ECF3F5"/>
      </w:tcPr>
    </w:tblStylePr>
  </w:style>
  <w:style w:type="table" w:customStyle="1" w:styleId="GridTable4-Accent32">
    <w:name w:val="Grid Table 4 - Accent 32"/>
    <w:basedOn w:val="TableNormal"/>
    <w:next w:val="GridTable4-Accent3"/>
    <w:uiPriority w:val="49"/>
    <w:rsid w:val="00C532B4"/>
    <w:pPr>
      <w:widowControl w:val="0"/>
    </w:pPr>
    <w:rPr>
      <w:rFonts w:ascii="Calibri" w:eastAsia="Calibri" w:hAnsi="Calibri"/>
      <w:sz w:val="22"/>
      <w:szCs w:val="22"/>
      <w:lang w:val="en-US" w:eastAsia="en-US"/>
    </w:rPr>
    <w:tblPr>
      <w:tblStyleRowBandSize w:val="1"/>
      <w:tblStyleColBandSize w:val="1"/>
      <w:tblBorders>
        <w:top w:val="single" w:sz="4" w:space="0" w:color="C8DDE2"/>
        <w:left w:val="single" w:sz="4" w:space="0" w:color="C8DDE2"/>
        <w:bottom w:val="single" w:sz="4" w:space="0" w:color="C8DDE2"/>
        <w:right w:val="single" w:sz="4" w:space="0" w:color="C8DDE2"/>
        <w:insideH w:val="single" w:sz="4" w:space="0" w:color="C8DDE2"/>
        <w:insideV w:val="single" w:sz="4" w:space="0" w:color="C8DDE2"/>
      </w:tblBorders>
    </w:tblPr>
    <w:tblStylePr w:type="firstRow">
      <w:rPr>
        <w:b/>
        <w:bCs/>
        <w:color w:val="FFFFFF"/>
      </w:rPr>
      <w:tblPr/>
      <w:tcPr>
        <w:tcBorders>
          <w:top w:val="single" w:sz="4" w:space="0" w:color="A5C8D0"/>
          <w:left w:val="single" w:sz="4" w:space="0" w:color="A5C8D0"/>
          <w:bottom w:val="single" w:sz="4" w:space="0" w:color="A5C8D0"/>
          <w:right w:val="single" w:sz="4" w:space="0" w:color="A5C8D0"/>
          <w:insideH w:val="nil"/>
          <w:insideV w:val="nil"/>
        </w:tcBorders>
        <w:shd w:val="clear" w:color="auto" w:fill="A5C8D0"/>
      </w:tcPr>
    </w:tblStylePr>
    <w:tblStylePr w:type="lastRow">
      <w:rPr>
        <w:b/>
        <w:bCs/>
      </w:rPr>
      <w:tblPr/>
      <w:tcPr>
        <w:tcBorders>
          <w:top w:val="double" w:sz="4" w:space="0" w:color="A5C8D0"/>
        </w:tcBorders>
      </w:tcPr>
    </w:tblStylePr>
    <w:tblStylePr w:type="firstCol">
      <w:rPr>
        <w:b/>
        <w:bCs/>
      </w:rPr>
    </w:tblStylePr>
    <w:tblStylePr w:type="lastCol">
      <w:rPr>
        <w:b/>
        <w:bCs/>
      </w:rPr>
    </w:tblStylePr>
    <w:tblStylePr w:type="band1Vert">
      <w:tblPr/>
      <w:tcPr>
        <w:shd w:val="clear" w:color="auto" w:fill="ECF3F5"/>
      </w:tcPr>
    </w:tblStylePr>
    <w:tblStylePr w:type="band1Horz">
      <w:tblPr/>
      <w:tcPr>
        <w:shd w:val="clear" w:color="auto" w:fill="ECF3F5"/>
      </w:tcPr>
    </w:tblStylePr>
  </w:style>
  <w:style w:type="table" w:customStyle="1" w:styleId="GridTable4-Accent61">
    <w:name w:val="Grid Table 4 - Accent 61"/>
    <w:basedOn w:val="TableNormal"/>
    <w:next w:val="GridTable4-Accent6"/>
    <w:uiPriority w:val="49"/>
    <w:rsid w:val="00C532B4"/>
    <w:pPr>
      <w:widowControl w:val="0"/>
    </w:pPr>
    <w:rPr>
      <w:rFonts w:ascii="Calibri" w:eastAsia="Calibri" w:hAnsi="Calibri"/>
      <w:sz w:val="22"/>
      <w:szCs w:val="22"/>
      <w:lang w:val="en-US" w:eastAsia="en-US"/>
    </w:rPr>
    <w:tblPr>
      <w:tblStyleRowBandSize w:val="1"/>
      <w:tblStyleColBandSize w:val="1"/>
      <w:tblBorders>
        <w:top w:val="single" w:sz="4" w:space="0" w:color="E8E0C7"/>
        <w:left w:val="single" w:sz="4" w:space="0" w:color="E8E0C7"/>
        <w:bottom w:val="single" w:sz="4" w:space="0" w:color="E8E0C7"/>
        <w:right w:val="single" w:sz="4" w:space="0" w:color="E8E0C7"/>
        <w:insideH w:val="single" w:sz="4" w:space="0" w:color="E8E0C7"/>
        <w:insideV w:val="single" w:sz="4" w:space="0" w:color="E8E0C7"/>
      </w:tblBorders>
    </w:tblPr>
    <w:tblStylePr w:type="firstRow">
      <w:rPr>
        <w:b/>
        <w:bCs/>
        <w:color w:val="FFFFFF"/>
      </w:rPr>
      <w:tblPr/>
      <w:tcPr>
        <w:tcBorders>
          <w:top w:val="single" w:sz="4" w:space="0" w:color="DACDA2"/>
          <w:left w:val="single" w:sz="4" w:space="0" w:color="DACDA2"/>
          <w:bottom w:val="single" w:sz="4" w:space="0" w:color="DACDA2"/>
          <w:right w:val="single" w:sz="4" w:space="0" w:color="DACDA2"/>
          <w:insideH w:val="nil"/>
          <w:insideV w:val="nil"/>
        </w:tcBorders>
        <w:shd w:val="clear" w:color="auto" w:fill="DACDA2"/>
      </w:tcPr>
    </w:tblStylePr>
    <w:tblStylePr w:type="lastRow">
      <w:rPr>
        <w:b/>
        <w:bCs/>
      </w:rPr>
      <w:tblPr/>
      <w:tcPr>
        <w:tcBorders>
          <w:top w:val="double" w:sz="4" w:space="0" w:color="DACDA2"/>
        </w:tcBorders>
      </w:tcPr>
    </w:tblStylePr>
    <w:tblStylePr w:type="firstCol">
      <w:rPr>
        <w:b/>
        <w:bCs/>
      </w:rPr>
    </w:tblStylePr>
    <w:tblStylePr w:type="lastCol">
      <w:rPr>
        <w:b/>
        <w:bCs/>
      </w:rPr>
    </w:tblStylePr>
    <w:tblStylePr w:type="band1Vert">
      <w:tblPr/>
      <w:tcPr>
        <w:shd w:val="clear" w:color="auto" w:fill="F7F5EC"/>
      </w:tcPr>
    </w:tblStylePr>
    <w:tblStylePr w:type="band1Horz">
      <w:tblPr/>
      <w:tcPr>
        <w:shd w:val="clear" w:color="auto" w:fill="F7F5EC"/>
      </w:tcPr>
    </w:tblStylePr>
  </w:style>
  <w:style w:type="table" w:customStyle="1" w:styleId="GridTable4-Accent33">
    <w:name w:val="Grid Table 4 - Accent 33"/>
    <w:basedOn w:val="TableNormal"/>
    <w:next w:val="GridTable4-Accent3"/>
    <w:uiPriority w:val="49"/>
    <w:rsid w:val="00C532B4"/>
    <w:pPr>
      <w:widowControl w:val="0"/>
    </w:pPr>
    <w:rPr>
      <w:rFonts w:ascii="Calibri" w:eastAsia="Calibri" w:hAnsi="Calibri"/>
      <w:sz w:val="22"/>
      <w:szCs w:val="22"/>
      <w:lang w:val="en-US" w:eastAsia="en-US"/>
    </w:rPr>
    <w:tblPr>
      <w:tblStyleRowBandSize w:val="1"/>
      <w:tblStyleColBandSize w:val="1"/>
      <w:tblBorders>
        <w:top w:val="single" w:sz="4" w:space="0" w:color="C8DDE2"/>
        <w:left w:val="single" w:sz="4" w:space="0" w:color="C8DDE2"/>
        <w:bottom w:val="single" w:sz="4" w:space="0" w:color="C8DDE2"/>
        <w:right w:val="single" w:sz="4" w:space="0" w:color="C8DDE2"/>
        <w:insideH w:val="single" w:sz="4" w:space="0" w:color="C8DDE2"/>
        <w:insideV w:val="single" w:sz="4" w:space="0" w:color="C8DDE2"/>
      </w:tblBorders>
    </w:tblPr>
    <w:tblStylePr w:type="firstRow">
      <w:rPr>
        <w:b/>
        <w:bCs/>
        <w:color w:val="FFFFFF"/>
      </w:rPr>
      <w:tblPr/>
      <w:tcPr>
        <w:tcBorders>
          <w:top w:val="single" w:sz="4" w:space="0" w:color="A5C8D0"/>
          <w:left w:val="single" w:sz="4" w:space="0" w:color="A5C8D0"/>
          <w:bottom w:val="single" w:sz="4" w:space="0" w:color="A5C8D0"/>
          <w:right w:val="single" w:sz="4" w:space="0" w:color="A5C8D0"/>
          <w:insideH w:val="nil"/>
          <w:insideV w:val="nil"/>
        </w:tcBorders>
        <w:shd w:val="clear" w:color="auto" w:fill="A5C8D0"/>
      </w:tcPr>
    </w:tblStylePr>
    <w:tblStylePr w:type="lastRow">
      <w:rPr>
        <w:b/>
        <w:bCs/>
      </w:rPr>
      <w:tblPr/>
      <w:tcPr>
        <w:tcBorders>
          <w:top w:val="double" w:sz="4" w:space="0" w:color="A5C8D0"/>
        </w:tcBorders>
      </w:tcPr>
    </w:tblStylePr>
    <w:tblStylePr w:type="firstCol">
      <w:rPr>
        <w:b/>
        <w:bCs/>
      </w:rPr>
    </w:tblStylePr>
    <w:tblStylePr w:type="lastCol">
      <w:rPr>
        <w:b/>
        <w:bCs/>
      </w:rPr>
    </w:tblStylePr>
    <w:tblStylePr w:type="band1Vert">
      <w:tblPr/>
      <w:tcPr>
        <w:shd w:val="clear" w:color="auto" w:fill="ECF3F5"/>
      </w:tcPr>
    </w:tblStylePr>
    <w:tblStylePr w:type="band1Horz">
      <w:tblPr/>
      <w:tcPr>
        <w:shd w:val="clear" w:color="auto" w:fill="ECF3F5"/>
      </w:tcPr>
    </w:tblStylePr>
  </w:style>
  <w:style w:type="table" w:styleId="GridTable4-Accent3">
    <w:name w:val="Grid Table 4 Accent 3"/>
    <w:basedOn w:val="TableNormal"/>
    <w:uiPriority w:val="49"/>
    <w:rsid w:val="00C532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C532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itle">
    <w:name w:val="Title"/>
    <w:basedOn w:val="Normal"/>
    <w:next w:val="Normal"/>
    <w:link w:val="TitleChar"/>
    <w:uiPriority w:val="10"/>
    <w:qFormat/>
    <w:rsid w:val="00911C73"/>
    <w:pPr>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11C73"/>
    <w:rPr>
      <w:rFonts w:asciiTheme="majorHAnsi" w:eastAsiaTheme="majorEastAsia" w:hAnsiTheme="majorHAnsi" w:cstheme="majorBidi"/>
      <w:spacing w:val="-10"/>
      <w:kern w:val="28"/>
      <w:sz w:val="56"/>
      <w:szCs w:val="56"/>
      <w:lang w:eastAsia="en-US"/>
      <w14:ligatures w14:val="standardContextual"/>
    </w:rPr>
  </w:style>
  <w:style w:type="character" w:customStyle="1" w:styleId="normaltextrun">
    <w:name w:val="normaltextrun"/>
    <w:basedOn w:val="DefaultParagraphFont"/>
    <w:rsid w:val="00557528"/>
  </w:style>
  <w:style w:type="character" w:customStyle="1" w:styleId="eop">
    <w:name w:val="eop"/>
    <w:basedOn w:val="DefaultParagraphFont"/>
    <w:rsid w:val="0055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9248">
      <w:bodyDiv w:val="1"/>
      <w:marLeft w:val="0"/>
      <w:marRight w:val="0"/>
      <w:marTop w:val="0"/>
      <w:marBottom w:val="0"/>
      <w:divBdr>
        <w:top w:val="none" w:sz="0" w:space="0" w:color="auto"/>
        <w:left w:val="none" w:sz="0" w:space="0" w:color="auto"/>
        <w:bottom w:val="none" w:sz="0" w:space="0" w:color="auto"/>
        <w:right w:val="none" w:sz="0" w:space="0" w:color="auto"/>
      </w:divBdr>
    </w:div>
    <w:div w:id="403720212">
      <w:bodyDiv w:val="1"/>
      <w:marLeft w:val="0"/>
      <w:marRight w:val="0"/>
      <w:marTop w:val="0"/>
      <w:marBottom w:val="0"/>
      <w:divBdr>
        <w:top w:val="none" w:sz="0" w:space="0" w:color="auto"/>
        <w:left w:val="none" w:sz="0" w:space="0" w:color="auto"/>
        <w:bottom w:val="none" w:sz="0" w:space="0" w:color="auto"/>
        <w:right w:val="none" w:sz="0" w:space="0" w:color="auto"/>
      </w:divBdr>
    </w:div>
    <w:div w:id="449469828">
      <w:bodyDiv w:val="1"/>
      <w:marLeft w:val="0"/>
      <w:marRight w:val="0"/>
      <w:marTop w:val="0"/>
      <w:marBottom w:val="0"/>
      <w:divBdr>
        <w:top w:val="none" w:sz="0" w:space="0" w:color="auto"/>
        <w:left w:val="none" w:sz="0" w:space="0" w:color="auto"/>
        <w:bottom w:val="none" w:sz="0" w:space="0" w:color="auto"/>
        <w:right w:val="none" w:sz="0" w:space="0" w:color="auto"/>
      </w:divBdr>
    </w:div>
    <w:div w:id="535310756">
      <w:bodyDiv w:val="1"/>
      <w:marLeft w:val="0"/>
      <w:marRight w:val="0"/>
      <w:marTop w:val="0"/>
      <w:marBottom w:val="0"/>
      <w:divBdr>
        <w:top w:val="none" w:sz="0" w:space="0" w:color="auto"/>
        <w:left w:val="none" w:sz="0" w:space="0" w:color="auto"/>
        <w:bottom w:val="none" w:sz="0" w:space="0" w:color="auto"/>
        <w:right w:val="none" w:sz="0" w:space="0" w:color="auto"/>
      </w:divBdr>
    </w:div>
    <w:div w:id="564871820">
      <w:bodyDiv w:val="1"/>
      <w:marLeft w:val="0"/>
      <w:marRight w:val="0"/>
      <w:marTop w:val="0"/>
      <w:marBottom w:val="0"/>
      <w:divBdr>
        <w:top w:val="none" w:sz="0" w:space="0" w:color="auto"/>
        <w:left w:val="none" w:sz="0" w:space="0" w:color="auto"/>
        <w:bottom w:val="none" w:sz="0" w:space="0" w:color="auto"/>
        <w:right w:val="none" w:sz="0" w:space="0" w:color="auto"/>
      </w:divBdr>
    </w:div>
    <w:div w:id="791024347">
      <w:bodyDiv w:val="1"/>
      <w:marLeft w:val="0"/>
      <w:marRight w:val="0"/>
      <w:marTop w:val="0"/>
      <w:marBottom w:val="0"/>
      <w:divBdr>
        <w:top w:val="none" w:sz="0" w:space="0" w:color="auto"/>
        <w:left w:val="none" w:sz="0" w:space="0" w:color="auto"/>
        <w:bottom w:val="none" w:sz="0" w:space="0" w:color="auto"/>
        <w:right w:val="none" w:sz="0" w:space="0" w:color="auto"/>
      </w:divBdr>
    </w:div>
    <w:div w:id="849565884">
      <w:bodyDiv w:val="1"/>
      <w:marLeft w:val="0"/>
      <w:marRight w:val="0"/>
      <w:marTop w:val="0"/>
      <w:marBottom w:val="0"/>
      <w:divBdr>
        <w:top w:val="none" w:sz="0" w:space="0" w:color="auto"/>
        <w:left w:val="none" w:sz="0" w:space="0" w:color="auto"/>
        <w:bottom w:val="none" w:sz="0" w:space="0" w:color="auto"/>
        <w:right w:val="none" w:sz="0" w:space="0" w:color="auto"/>
      </w:divBdr>
    </w:div>
    <w:div w:id="862092592">
      <w:bodyDiv w:val="1"/>
      <w:marLeft w:val="0"/>
      <w:marRight w:val="0"/>
      <w:marTop w:val="0"/>
      <w:marBottom w:val="0"/>
      <w:divBdr>
        <w:top w:val="none" w:sz="0" w:space="0" w:color="auto"/>
        <w:left w:val="none" w:sz="0" w:space="0" w:color="auto"/>
        <w:bottom w:val="none" w:sz="0" w:space="0" w:color="auto"/>
        <w:right w:val="none" w:sz="0" w:space="0" w:color="auto"/>
      </w:divBdr>
    </w:div>
    <w:div w:id="1172066928">
      <w:bodyDiv w:val="1"/>
      <w:marLeft w:val="0"/>
      <w:marRight w:val="0"/>
      <w:marTop w:val="0"/>
      <w:marBottom w:val="0"/>
      <w:divBdr>
        <w:top w:val="none" w:sz="0" w:space="0" w:color="auto"/>
        <w:left w:val="none" w:sz="0" w:space="0" w:color="auto"/>
        <w:bottom w:val="none" w:sz="0" w:space="0" w:color="auto"/>
        <w:right w:val="none" w:sz="0" w:space="0" w:color="auto"/>
      </w:divBdr>
    </w:div>
    <w:div w:id="1173033213">
      <w:bodyDiv w:val="1"/>
      <w:marLeft w:val="0"/>
      <w:marRight w:val="0"/>
      <w:marTop w:val="0"/>
      <w:marBottom w:val="0"/>
      <w:divBdr>
        <w:top w:val="none" w:sz="0" w:space="0" w:color="auto"/>
        <w:left w:val="none" w:sz="0" w:space="0" w:color="auto"/>
        <w:bottom w:val="none" w:sz="0" w:space="0" w:color="auto"/>
        <w:right w:val="none" w:sz="0" w:space="0" w:color="auto"/>
      </w:divBdr>
    </w:div>
    <w:div w:id="1208689525">
      <w:bodyDiv w:val="1"/>
      <w:marLeft w:val="0"/>
      <w:marRight w:val="0"/>
      <w:marTop w:val="0"/>
      <w:marBottom w:val="0"/>
      <w:divBdr>
        <w:top w:val="none" w:sz="0" w:space="0" w:color="auto"/>
        <w:left w:val="none" w:sz="0" w:space="0" w:color="auto"/>
        <w:bottom w:val="none" w:sz="0" w:space="0" w:color="auto"/>
        <w:right w:val="none" w:sz="0" w:space="0" w:color="auto"/>
      </w:divBdr>
    </w:div>
    <w:div w:id="1233389830">
      <w:bodyDiv w:val="1"/>
      <w:marLeft w:val="0"/>
      <w:marRight w:val="0"/>
      <w:marTop w:val="0"/>
      <w:marBottom w:val="0"/>
      <w:divBdr>
        <w:top w:val="none" w:sz="0" w:space="0" w:color="auto"/>
        <w:left w:val="none" w:sz="0" w:space="0" w:color="auto"/>
        <w:bottom w:val="none" w:sz="0" w:space="0" w:color="auto"/>
        <w:right w:val="none" w:sz="0" w:space="0" w:color="auto"/>
      </w:divBdr>
    </w:div>
    <w:div w:id="1493911635">
      <w:bodyDiv w:val="1"/>
      <w:marLeft w:val="0"/>
      <w:marRight w:val="0"/>
      <w:marTop w:val="0"/>
      <w:marBottom w:val="0"/>
      <w:divBdr>
        <w:top w:val="none" w:sz="0" w:space="0" w:color="auto"/>
        <w:left w:val="none" w:sz="0" w:space="0" w:color="auto"/>
        <w:bottom w:val="none" w:sz="0" w:space="0" w:color="auto"/>
        <w:right w:val="none" w:sz="0" w:space="0" w:color="auto"/>
      </w:divBdr>
    </w:div>
    <w:div w:id="1546943641">
      <w:bodyDiv w:val="1"/>
      <w:marLeft w:val="0"/>
      <w:marRight w:val="0"/>
      <w:marTop w:val="0"/>
      <w:marBottom w:val="0"/>
      <w:divBdr>
        <w:top w:val="none" w:sz="0" w:space="0" w:color="auto"/>
        <w:left w:val="none" w:sz="0" w:space="0" w:color="auto"/>
        <w:bottom w:val="none" w:sz="0" w:space="0" w:color="auto"/>
        <w:right w:val="none" w:sz="0" w:space="0" w:color="auto"/>
      </w:divBdr>
    </w:div>
    <w:div w:id="1586694786">
      <w:bodyDiv w:val="1"/>
      <w:marLeft w:val="0"/>
      <w:marRight w:val="0"/>
      <w:marTop w:val="0"/>
      <w:marBottom w:val="0"/>
      <w:divBdr>
        <w:top w:val="none" w:sz="0" w:space="0" w:color="auto"/>
        <w:left w:val="none" w:sz="0" w:space="0" w:color="auto"/>
        <w:bottom w:val="none" w:sz="0" w:space="0" w:color="auto"/>
        <w:right w:val="none" w:sz="0" w:space="0" w:color="auto"/>
      </w:divBdr>
    </w:div>
    <w:div w:id="1650357508">
      <w:bodyDiv w:val="1"/>
      <w:marLeft w:val="0"/>
      <w:marRight w:val="0"/>
      <w:marTop w:val="0"/>
      <w:marBottom w:val="0"/>
      <w:divBdr>
        <w:top w:val="none" w:sz="0" w:space="0" w:color="auto"/>
        <w:left w:val="none" w:sz="0" w:space="0" w:color="auto"/>
        <w:bottom w:val="none" w:sz="0" w:space="0" w:color="auto"/>
        <w:right w:val="none" w:sz="0" w:space="0" w:color="auto"/>
      </w:divBdr>
    </w:div>
    <w:div w:id="19707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www.routledge.com/Stopping-Gender-based-Violence-in-Higher-Education-Policy-Practice-and/Humphreys-Towl/p/book/9781032172477" TargetMode="External"/><Relationship Id="rId39" Type="http://schemas.openxmlformats.org/officeDocument/2006/relationships/hyperlink" Target="https://ehjb.fa.em2.oraclecloud.com:443/hcmUI/faces/deeplink?objType=WLF_LEARN_LEARNING_ITEM&amp;action=NONE&amp;objKey=learningItemId%3D300000347756443" TargetMode="External"/><Relationship Id="rId21" Type="http://schemas.openxmlformats.org/officeDocument/2006/relationships/chart" Target="charts/chart10.xml"/><Relationship Id="rId34" Type="http://schemas.openxmlformats.org/officeDocument/2006/relationships/header" Target="header2.xml"/><Relationship Id="rId42" Type="http://schemas.openxmlformats.org/officeDocument/2006/relationships/hyperlink" Target="https://www.durhamsu.com/events" TargetMode="External"/><Relationship Id="rId47" Type="http://schemas.openxmlformats.org/officeDocument/2006/relationships/hyperlink" Target="https://ehjb.fa.em2.oraclecloud.com:443/hcmUI/faces/deeplink?objType=WLF_LEARN_LEARNING_ITEM&amp;action=NONE&amp;objKey=learningItemId%3D300000362555398" TargetMode="External"/><Relationship Id="rId50" Type="http://schemas.openxmlformats.org/officeDocument/2006/relationships/hyperlink" Target="https://ehjb.fa.em2.oraclecloud.com/hcmUI/faces/deeplink?objType=WLF_LEARN_LEARNING_ITEM&amp;action=NONE&amp;objKey=learningItemId%3D300000310394545"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5.xml"/><Relationship Id="rId29" Type="http://schemas.openxmlformats.org/officeDocument/2006/relationships/hyperlink" Target="https://www.officeforstudents.org.uk/advice-and-guidance/student-wellbeing-and-protection/prevent-and-address-harassment-and-sexual-misconduct/statement-of-expectations/" TargetMode="External"/><Relationship Id="rId11" Type="http://schemas.openxmlformats.org/officeDocument/2006/relationships/image" Target="media/image1.jpeg"/><Relationship Id="rId24" Type="http://schemas.openxmlformats.org/officeDocument/2006/relationships/hyperlink" Target="https://1752group.files.wordpress.com/2024/01/briefing-note-4_joining-the-misconduct-disclosure-scheme.pdf" TargetMode="External"/><Relationship Id="rId32" Type="http://schemas.openxmlformats.org/officeDocument/2006/relationships/header" Target="header1.xml"/><Relationship Id="rId37" Type="http://schemas.openxmlformats.org/officeDocument/2006/relationships/image" Target="media/image2.png"/><Relationship Id="rId40" Type="http://schemas.openxmlformats.org/officeDocument/2006/relationships/hyperlink" Target="https://ehjb.fa.em2.oraclecloud.com:443/hcmUI/faces/deeplink?objType=WLF_LEARN_LEARNING_ITEM&amp;action=NONE&amp;objKey=learningItemId%3D300000362555398" TargetMode="External"/><Relationship Id="rId45" Type="http://schemas.openxmlformats.org/officeDocument/2006/relationships/hyperlink" Target="https://ehjb.fa.em2.oraclecloud.com:443/hcmUI/faces/deeplink?objType=WLF_LEARN_LEARNING_ITEM&amp;action=NONE&amp;objKey=learningItemId%3D300000318361066" TargetMode="External"/><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hyperlink" Target="https://www.routledge.com/Stopping-Gender-based-Violence-in-Higher-Education-Policy-Practice-and/Humphreys-Towl/p/book/9781032172477" TargetMode="External"/><Relationship Id="rId44" Type="http://schemas.openxmlformats.org/officeDocument/2006/relationships/hyperlink" Target="https://ehjb.fa.em2.oraclecloud.com/hcmUI/faces/deeplink?objType=WLF_LEARN_LEARNING_ITEM&amp;action=NONE&amp;objKey=learningItemId%3D300000310394603"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s://www.routledge.com/Stopping-Gender-based-Violence-in-Higher-Education-Policy-Practice-and/Humphreys-Towl/p/book/9781032172477" TargetMode="External"/><Relationship Id="rId30" Type="http://schemas.openxmlformats.org/officeDocument/2006/relationships/hyperlink" Target="https://www.oiahe.org.uk/media/2045/good-practice-framework-disciplinary-procedures-section.pdf" TargetMode="External"/><Relationship Id="rId35" Type="http://schemas.openxmlformats.org/officeDocument/2006/relationships/footer" Target="footer2.xml"/><Relationship Id="rId43" Type="http://schemas.openxmlformats.org/officeDocument/2006/relationships/hyperlink" Target="https://ehjb.fa.em2.oraclecloud.com:443/hcmUI/faces/deeplink?objType=WLF_LEARN_LEARNING_ITEM&amp;action=NONE&amp;objKey=learningItemId%3D300000312701293" TargetMode="External"/><Relationship Id="rId48" Type="http://schemas.openxmlformats.org/officeDocument/2006/relationships/hyperlink" Target="https://ehjb.fa.em2.oraclecloud.com:443/hcmUI/faces/deeplink?objType=WLF_LEARN_LEARNING_ITEM&amp;action=NONE&amp;objKey=learningItemId%3D300000289867237" TargetMode="External"/><Relationship Id="rId8" Type="http://schemas.openxmlformats.org/officeDocument/2006/relationships/webSettings" Target="webSettings.xml"/><Relationship Id="rId51" Type="http://schemas.openxmlformats.org/officeDocument/2006/relationships/hyperlink" Target="mailto:student.cases@durham.ac.uk" TargetMode="Externa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bit.ly/HumphreysTowl" TargetMode="External"/><Relationship Id="rId33" Type="http://schemas.openxmlformats.org/officeDocument/2006/relationships/footer" Target="footer1.xml"/><Relationship Id="rId38" Type="http://schemas.openxmlformats.org/officeDocument/2006/relationships/image" Target="media/image3.jpeg"/><Relationship Id="rId46" Type="http://schemas.openxmlformats.org/officeDocument/2006/relationships/hyperlink" Target="https://ehjb.fa.em2.oraclecloud.com:443/hcmUI/faces/deeplink?objType=WLF_LEARN_LEARNING_ITEM&amp;action=NONE&amp;objKey=learningItemId%3D300000315780527" TargetMode="External"/><Relationship Id="rId20" Type="http://schemas.openxmlformats.org/officeDocument/2006/relationships/chart" Target="charts/chart9.xml"/><Relationship Id="rId41" Type="http://schemas.openxmlformats.org/officeDocument/2006/relationships/hyperlink" Target="mailto:student.cases@durham.ac.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yperlink" Target="https://insight.culture-shift.co.uk/higher-education/university-of-york-on-how-to-handle-anonymous-reports" TargetMode="External"/><Relationship Id="rId36" Type="http://schemas.openxmlformats.org/officeDocument/2006/relationships/hyperlink" Target="https://www.universitiesuk.ac.uk/sites/default/files/field/downloads/2024-03/alleged-student-misconduct-2024-case-studies.pdf" TargetMode="External"/><Relationship Id="rId49" Type="http://schemas.openxmlformats.org/officeDocument/2006/relationships/hyperlink" Target="https://ehjb.fa.em2.oraclecloud.com:443/hcmUI/faces/deeplink?objType=WLF_LEARN_LEARNING_ITEM&amp;action=NONE&amp;objKey=learningItemId%3D30000063958670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urhamuniversity.sharepoint.com/sites/ph/SitePages/Procedure-for-managing-disclosures-or-reports-involving-allegations-of-staff-sexual-violence-and-misconduct.aspx?web=1" TargetMode="External"/><Relationship Id="rId2" Type="http://schemas.openxmlformats.org/officeDocument/2006/relationships/hyperlink" Target="mailto:student.cases@durham.ac.uk" TargetMode="External"/><Relationship Id="rId1" Type="http://schemas.openxmlformats.org/officeDocument/2006/relationships/hyperlink" Target="https://teams.microsoft.com/l/team/19%3af9ed71d22c984039808f26888b7c0a44%40thread.tacv2/conversations?groupId=024b3417-d585-4228-b75e-fc4d28ca91c2&amp;tenantId=7250d88b-4b68-4529-be44-d59a2d8a6f94" TargetMode="External"/><Relationship Id="rId5" Type="http://schemas.openxmlformats.org/officeDocument/2006/relationships/hyperlink" Target="https://www.dur.ac.uk/sexualviolence/policies/" TargetMode="External"/><Relationship Id="rId4" Type="http://schemas.openxmlformats.org/officeDocument/2006/relationships/hyperlink" Target="https://durhamuniversity.sharepoint.com/sites/ph/SitePages/Close-Personal-Relationships-between-Staff-%26-Students.aspx?web=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eptblue01\aso\StudentAdmin\SEXUAL%20VIOLENCE\DATABASE%20AND%20LOGS\202223TMReport_analysis_ActiveTrendMonitoringDatabas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GB" sz="1200">
                <a:solidFill>
                  <a:sysClr val="windowText" lastClr="000000"/>
                </a:solidFill>
              </a:rPr>
              <a:t>Figure 1: Disclosures Received by Year and Incident Year</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2"/>
          <c:order val="2"/>
          <c:tx>
            <c:strRef>
              <c:f>'Trend Monitoring'!$A$59</c:f>
              <c:strCache>
                <c:ptCount val="1"/>
                <c:pt idx="0">
                  <c:v>2016/17 Incident(s)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'Trend Monitoring'!$F$55:$J$55</c:f>
              <c:strCache>
                <c:ptCount val="5"/>
                <c:pt idx="0">
                  <c:v>2018/19</c:v>
                </c:pt>
                <c:pt idx="1">
                  <c:v>2019/20</c:v>
                </c:pt>
                <c:pt idx="2">
                  <c:v>2020/21</c:v>
                </c:pt>
                <c:pt idx="3">
                  <c:v>2021/22</c:v>
                </c:pt>
                <c:pt idx="4">
                  <c:v>2022/23</c:v>
                </c:pt>
              </c:strCache>
            </c:strRef>
          </c:cat>
          <c:val>
            <c:numRef>
              <c:f>'Trend Monitoring'!$F$59:$J$59</c:f>
              <c:numCache>
                <c:formatCode>General</c:formatCode>
                <c:ptCount val="5"/>
                <c:pt idx="0">
                  <c:v>2</c:v>
                </c:pt>
                <c:pt idx="1">
                  <c:v>0</c:v>
                </c:pt>
                <c:pt idx="2">
                  <c:v>1</c:v>
                </c:pt>
                <c:pt idx="3">
                  <c:v>0</c:v>
                </c:pt>
                <c:pt idx="4">
                  <c:v>0</c:v>
                </c:pt>
              </c:numCache>
            </c:numRef>
          </c:val>
          <c:extLst>
            <c:ext xmlns:c16="http://schemas.microsoft.com/office/drawing/2014/chart" uri="{C3380CC4-5D6E-409C-BE32-E72D297353CC}">
              <c16:uniqueId val="{00000002-F647-461F-9211-EB54E90CE38B}"/>
            </c:ext>
          </c:extLst>
        </c:ser>
        <c:ser>
          <c:idx val="3"/>
          <c:order val="3"/>
          <c:tx>
            <c:strRef>
              <c:f>'Trend Monitoring'!$A$60</c:f>
              <c:strCache>
                <c:ptCount val="1"/>
                <c:pt idx="0">
                  <c:v>2017/18 Incident(s)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'Trend Monitoring'!$F$55:$J$55</c:f>
              <c:strCache>
                <c:ptCount val="5"/>
                <c:pt idx="0">
                  <c:v>2018/19</c:v>
                </c:pt>
                <c:pt idx="1">
                  <c:v>2019/20</c:v>
                </c:pt>
                <c:pt idx="2">
                  <c:v>2020/21</c:v>
                </c:pt>
                <c:pt idx="3">
                  <c:v>2021/22</c:v>
                </c:pt>
                <c:pt idx="4">
                  <c:v>2022/23</c:v>
                </c:pt>
              </c:strCache>
            </c:strRef>
          </c:cat>
          <c:val>
            <c:numRef>
              <c:f>'Trend Monitoring'!$F$60:$J$60</c:f>
              <c:numCache>
                <c:formatCode>General</c:formatCode>
                <c:ptCount val="5"/>
                <c:pt idx="0">
                  <c:v>7</c:v>
                </c:pt>
                <c:pt idx="1">
                  <c:v>2</c:v>
                </c:pt>
                <c:pt idx="2">
                  <c:v>1</c:v>
                </c:pt>
                <c:pt idx="3">
                  <c:v>1</c:v>
                </c:pt>
                <c:pt idx="4">
                  <c:v>3</c:v>
                </c:pt>
              </c:numCache>
            </c:numRef>
          </c:val>
          <c:extLst>
            <c:ext xmlns:c16="http://schemas.microsoft.com/office/drawing/2014/chart" uri="{C3380CC4-5D6E-409C-BE32-E72D297353CC}">
              <c16:uniqueId val="{00000003-F647-461F-9211-EB54E90CE38B}"/>
            </c:ext>
          </c:extLst>
        </c:ser>
        <c:ser>
          <c:idx val="4"/>
          <c:order val="4"/>
          <c:tx>
            <c:strRef>
              <c:f>'Trend Monitoring'!$A$61</c:f>
              <c:strCache>
                <c:ptCount val="1"/>
                <c:pt idx="0">
                  <c:v>2018/19 Incident(s)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'Trend Monitoring'!$F$55:$J$55</c:f>
              <c:strCache>
                <c:ptCount val="5"/>
                <c:pt idx="0">
                  <c:v>2018/19</c:v>
                </c:pt>
                <c:pt idx="1">
                  <c:v>2019/20</c:v>
                </c:pt>
                <c:pt idx="2">
                  <c:v>2020/21</c:v>
                </c:pt>
                <c:pt idx="3">
                  <c:v>2021/22</c:v>
                </c:pt>
                <c:pt idx="4">
                  <c:v>2022/23</c:v>
                </c:pt>
              </c:strCache>
            </c:strRef>
          </c:cat>
          <c:val>
            <c:numRef>
              <c:f>'Trend Monitoring'!$F$61:$J$61</c:f>
              <c:numCache>
                <c:formatCode>General</c:formatCode>
                <c:ptCount val="5"/>
                <c:pt idx="0">
                  <c:v>57</c:v>
                </c:pt>
                <c:pt idx="1">
                  <c:v>9</c:v>
                </c:pt>
                <c:pt idx="2">
                  <c:v>3</c:v>
                </c:pt>
                <c:pt idx="3">
                  <c:v>2</c:v>
                </c:pt>
                <c:pt idx="4">
                  <c:v>1</c:v>
                </c:pt>
              </c:numCache>
            </c:numRef>
          </c:val>
          <c:extLst>
            <c:ext xmlns:c16="http://schemas.microsoft.com/office/drawing/2014/chart" uri="{C3380CC4-5D6E-409C-BE32-E72D297353CC}">
              <c16:uniqueId val="{00000004-F647-461F-9211-EB54E90CE38B}"/>
            </c:ext>
          </c:extLst>
        </c:ser>
        <c:ser>
          <c:idx val="5"/>
          <c:order val="5"/>
          <c:tx>
            <c:strRef>
              <c:f>'Trend Monitoring'!$A$62</c:f>
              <c:strCache>
                <c:ptCount val="1"/>
                <c:pt idx="0">
                  <c:v>2019/20 Incident(s)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'Trend Monitoring'!$F$55:$J$55</c:f>
              <c:strCache>
                <c:ptCount val="5"/>
                <c:pt idx="0">
                  <c:v>2018/19</c:v>
                </c:pt>
                <c:pt idx="1">
                  <c:v>2019/20</c:v>
                </c:pt>
                <c:pt idx="2">
                  <c:v>2020/21</c:v>
                </c:pt>
                <c:pt idx="3">
                  <c:v>2021/22</c:v>
                </c:pt>
                <c:pt idx="4">
                  <c:v>2022/23</c:v>
                </c:pt>
              </c:strCache>
            </c:strRef>
          </c:cat>
          <c:val>
            <c:numRef>
              <c:f>'Trend Monitoring'!$F$62:$J$62</c:f>
              <c:numCache>
                <c:formatCode>General</c:formatCode>
                <c:ptCount val="5"/>
                <c:pt idx="0">
                  <c:v>0</c:v>
                </c:pt>
                <c:pt idx="1">
                  <c:v>74</c:v>
                </c:pt>
                <c:pt idx="2">
                  <c:v>12</c:v>
                </c:pt>
                <c:pt idx="3">
                  <c:v>7</c:v>
                </c:pt>
                <c:pt idx="4">
                  <c:v>3</c:v>
                </c:pt>
              </c:numCache>
            </c:numRef>
          </c:val>
          <c:extLst>
            <c:ext xmlns:c16="http://schemas.microsoft.com/office/drawing/2014/chart" uri="{C3380CC4-5D6E-409C-BE32-E72D297353CC}">
              <c16:uniqueId val="{00000005-F647-461F-9211-EB54E90CE38B}"/>
            </c:ext>
          </c:extLst>
        </c:ser>
        <c:ser>
          <c:idx val="6"/>
          <c:order val="6"/>
          <c:tx>
            <c:strRef>
              <c:f>'Trend Monitoring'!$A$63</c:f>
              <c:strCache>
                <c:ptCount val="1"/>
                <c:pt idx="0">
                  <c:v>2020/21 Incident(s)</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'Trend Monitoring'!$F$55:$J$55</c:f>
              <c:strCache>
                <c:ptCount val="5"/>
                <c:pt idx="0">
                  <c:v>2018/19</c:v>
                </c:pt>
                <c:pt idx="1">
                  <c:v>2019/20</c:v>
                </c:pt>
                <c:pt idx="2">
                  <c:v>2020/21</c:v>
                </c:pt>
                <c:pt idx="3">
                  <c:v>2021/22</c:v>
                </c:pt>
                <c:pt idx="4">
                  <c:v>2022/23</c:v>
                </c:pt>
              </c:strCache>
            </c:strRef>
          </c:cat>
          <c:val>
            <c:numRef>
              <c:f>'Trend Monitoring'!$F$63:$J$63</c:f>
              <c:numCache>
                <c:formatCode>General</c:formatCode>
                <c:ptCount val="5"/>
                <c:pt idx="0">
                  <c:v>0</c:v>
                </c:pt>
                <c:pt idx="1">
                  <c:v>0</c:v>
                </c:pt>
                <c:pt idx="2">
                  <c:v>112</c:v>
                </c:pt>
                <c:pt idx="3">
                  <c:v>42</c:v>
                </c:pt>
                <c:pt idx="4">
                  <c:v>5</c:v>
                </c:pt>
              </c:numCache>
            </c:numRef>
          </c:val>
          <c:extLst>
            <c:ext xmlns:c16="http://schemas.microsoft.com/office/drawing/2014/chart" uri="{C3380CC4-5D6E-409C-BE32-E72D297353CC}">
              <c16:uniqueId val="{00000006-F647-461F-9211-EB54E90CE38B}"/>
            </c:ext>
          </c:extLst>
        </c:ser>
        <c:ser>
          <c:idx val="7"/>
          <c:order val="7"/>
          <c:tx>
            <c:strRef>
              <c:f>'Trend Monitoring'!$A$64</c:f>
              <c:strCache>
                <c:ptCount val="1"/>
                <c:pt idx="0">
                  <c:v>2021/22 Incident(s)</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'Trend Monitoring'!$F$55:$J$55</c:f>
              <c:strCache>
                <c:ptCount val="5"/>
                <c:pt idx="0">
                  <c:v>2018/19</c:v>
                </c:pt>
                <c:pt idx="1">
                  <c:v>2019/20</c:v>
                </c:pt>
                <c:pt idx="2">
                  <c:v>2020/21</c:v>
                </c:pt>
                <c:pt idx="3">
                  <c:v>2021/22</c:v>
                </c:pt>
                <c:pt idx="4">
                  <c:v>2022/23</c:v>
                </c:pt>
              </c:strCache>
            </c:strRef>
          </c:cat>
          <c:val>
            <c:numRef>
              <c:f>'Trend Monitoring'!$F$64:$J$64</c:f>
              <c:numCache>
                <c:formatCode>General</c:formatCode>
                <c:ptCount val="5"/>
                <c:pt idx="0">
                  <c:v>0</c:v>
                </c:pt>
                <c:pt idx="1">
                  <c:v>0</c:v>
                </c:pt>
                <c:pt idx="2">
                  <c:v>0</c:v>
                </c:pt>
                <c:pt idx="3">
                  <c:v>137</c:v>
                </c:pt>
                <c:pt idx="4">
                  <c:v>27</c:v>
                </c:pt>
              </c:numCache>
            </c:numRef>
          </c:val>
          <c:extLst>
            <c:ext xmlns:c16="http://schemas.microsoft.com/office/drawing/2014/chart" uri="{C3380CC4-5D6E-409C-BE32-E72D297353CC}">
              <c16:uniqueId val="{00000007-F647-461F-9211-EB54E90CE38B}"/>
            </c:ext>
          </c:extLst>
        </c:ser>
        <c:ser>
          <c:idx val="8"/>
          <c:order val="8"/>
          <c:tx>
            <c:strRef>
              <c:f>'Trend Monitoring'!$A$65</c:f>
              <c:strCache>
                <c:ptCount val="1"/>
                <c:pt idx="0">
                  <c:v>2022/23 Incident(s)</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'Trend Monitoring'!$F$55:$J$55</c:f>
              <c:strCache>
                <c:ptCount val="5"/>
                <c:pt idx="0">
                  <c:v>2018/19</c:v>
                </c:pt>
                <c:pt idx="1">
                  <c:v>2019/20</c:v>
                </c:pt>
                <c:pt idx="2">
                  <c:v>2020/21</c:v>
                </c:pt>
                <c:pt idx="3">
                  <c:v>2021/22</c:v>
                </c:pt>
                <c:pt idx="4">
                  <c:v>2022/23</c:v>
                </c:pt>
              </c:strCache>
            </c:strRef>
          </c:cat>
          <c:val>
            <c:numRef>
              <c:f>'Trend Monitoring'!$F$65:$J$65</c:f>
              <c:numCache>
                <c:formatCode>General</c:formatCode>
                <c:ptCount val="5"/>
                <c:pt idx="0">
                  <c:v>0</c:v>
                </c:pt>
                <c:pt idx="1">
                  <c:v>0</c:v>
                </c:pt>
                <c:pt idx="2">
                  <c:v>0</c:v>
                </c:pt>
                <c:pt idx="3">
                  <c:v>0</c:v>
                </c:pt>
                <c:pt idx="4">
                  <c:v>198</c:v>
                </c:pt>
              </c:numCache>
            </c:numRef>
          </c:val>
          <c:extLst>
            <c:ext xmlns:c16="http://schemas.microsoft.com/office/drawing/2014/chart" uri="{C3380CC4-5D6E-409C-BE32-E72D297353CC}">
              <c16:uniqueId val="{00000008-F647-461F-9211-EB54E90CE38B}"/>
            </c:ext>
          </c:extLst>
        </c:ser>
        <c:ser>
          <c:idx val="9"/>
          <c:order val="9"/>
          <c:tx>
            <c:strRef>
              <c:f>'Trend Monitoring'!$A$66</c:f>
              <c:strCache>
                <c:ptCount val="1"/>
                <c:pt idx="0">
                  <c:v>Anonymous Reports for specified year</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'Trend Monitoring'!$F$55:$J$55</c:f>
              <c:strCache>
                <c:ptCount val="5"/>
                <c:pt idx="0">
                  <c:v>2018/19</c:v>
                </c:pt>
                <c:pt idx="1">
                  <c:v>2019/20</c:v>
                </c:pt>
                <c:pt idx="2">
                  <c:v>2020/21</c:v>
                </c:pt>
                <c:pt idx="3">
                  <c:v>2021/22</c:v>
                </c:pt>
                <c:pt idx="4">
                  <c:v>2022/23</c:v>
                </c:pt>
              </c:strCache>
            </c:strRef>
          </c:cat>
          <c:val>
            <c:numRef>
              <c:f>'Trend Monitoring'!$F$66:$J$66</c:f>
              <c:numCache>
                <c:formatCode>General</c:formatCode>
                <c:ptCount val="5"/>
                <c:pt idx="0">
                  <c:v>0</c:v>
                </c:pt>
                <c:pt idx="1">
                  <c:v>0</c:v>
                </c:pt>
                <c:pt idx="2">
                  <c:v>0</c:v>
                </c:pt>
                <c:pt idx="3">
                  <c:v>24</c:v>
                </c:pt>
                <c:pt idx="4">
                  <c:v>37</c:v>
                </c:pt>
              </c:numCache>
            </c:numRef>
          </c:val>
          <c:extLst>
            <c:ext xmlns:c16="http://schemas.microsoft.com/office/drawing/2014/chart" uri="{C3380CC4-5D6E-409C-BE32-E72D297353CC}">
              <c16:uniqueId val="{00000009-F647-461F-9211-EB54E90CE38B}"/>
            </c:ext>
          </c:extLst>
        </c:ser>
        <c:dLbls>
          <c:showLegendKey val="0"/>
          <c:showVal val="0"/>
          <c:showCatName val="0"/>
          <c:showSerName val="0"/>
          <c:showPercent val="0"/>
          <c:showBubbleSize val="0"/>
        </c:dLbls>
        <c:gapWidth val="150"/>
        <c:overlap val="100"/>
        <c:axId val="672766928"/>
        <c:axId val="864690688"/>
        <c:extLst>
          <c:ext xmlns:c15="http://schemas.microsoft.com/office/drawing/2012/chart" uri="{02D57815-91ED-43cb-92C2-25804820EDAC}">
            <c15:filteredBarSeries>
              <c15:ser>
                <c:idx val="0"/>
                <c:order val="0"/>
                <c:tx>
                  <c:strRef>
                    <c:extLst>
                      <c:ext uri="{02D57815-91ED-43cb-92C2-25804820EDAC}">
                        <c15:formulaRef>
                          <c15:sqref>'Trend Monitoring'!$A$57</c15:sqref>
                        </c15:formulaRef>
                      </c:ext>
                    </c:extLst>
                    <c:strCache>
                      <c:ptCount val="1"/>
                      <c:pt idx="0">
                        <c:v>2014/15 Incident(s)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extLst>
                      <c:ext uri="{02D57815-91ED-43cb-92C2-25804820EDAC}">
                        <c15:formulaRef>
                          <c15:sqref>'Trend Monitoring'!$F$55:$J$55</c15:sqref>
                        </c15:formulaRef>
                      </c:ext>
                    </c:extLst>
                    <c:strCache>
                      <c:ptCount val="5"/>
                      <c:pt idx="0">
                        <c:v>2018/19</c:v>
                      </c:pt>
                      <c:pt idx="1">
                        <c:v>2019/20</c:v>
                      </c:pt>
                      <c:pt idx="2">
                        <c:v>2020/21</c:v>
                      </c:pt>
                      <c:pt idx="3">
                        <c:v>2021/22</c:v>
                      </c:pt>
                      <c:pt idx="4">
                        <c:v>2022/23</c:v>
                      </c:pt>
                    </c:strCache>
                  </c:strRef>
                </c:cat>
                <c:val>
                  <c:numRef>
                    <c:extLst>
                      <c:ext uri="{02D57815-91ED-43cb-92C2-25804820EDAC}">
                        <c15:formulaRef>
                          <c15:sqref>'Trend Monitoring'!$F$57:$J$57</c15:sqref>
                        </c15:formulaRef>
                      </c:ext>
                    </c:extLst>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F647-461F-9211-EB54E90CE38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'Trend Monitoring'!$A$58</c15:sqref>
                        </c15:formulaRef>
                      </c:ext>
                    </c:extLst>
                    <c:strCache>
                      <c:ptCount val="1"/>
                      <c:pt idx="0">
                        <c:v>2015/16 Incident(s)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extLst xmlns:c15="http://schemas.microsoft.com/office/drawing/2012/chart">
                      <c:ext xmlns:c15="http://schemas.microsoft.com/office/drawing/2012/chart" uri="{02D57815-91ED-43cb-92C2-25804820EDAC}">
                        <c15:formulaRef>
                          <c15:sqref>'Trend Monitoring'!$F$55:$J$55</c15:sqref>
                        </c15:formulaRef>
                      </c:ext>
                    </c:extLst>
                    <c:strCache>
                      <c:ptCount val="5"/>
                      <c:pt idx="0">
                        <c:v>2018/19</c:v>
                      </c:pt>
                      <c:pt idx="1">
                        <c:v>2019/20</c:v>
                      </c:pt>
                      <c:pt idx="2">
                        <c:v>2020/21</c:v>
                      </c:pt>
                      <c:pt idx="3">
                        <c:v>2021/22</c:v>
                      </c:pt>
                      <c:pt idx="4">
                        <c:v>2022/23</c:v>
                      </c:pt>
                    </c:strCache>
                  </c:strRef>
                </c:cat>
                <c:val>
                  <c:numRef>
                    <c:extLst xmlns:c15="http://schemas.microsoft.com/office/drawing/2012/chart">
                      <c:ext xmlns:c15="http://schemas.microsoft.com/office/drawing/2012/chart" uri="{02D57815-91ED-43cb-92C2-25804820EDAC}">
                        <c15:formulaRef>
                          <c15:sqref>'Trend Monitoring'!$F$58:$J$58</c15:sqref>
                        </c15:formulaRef>
                      </c:ext>
                    </c:extLst>
                    <c:numCache>
                      <c:formatCode>General</c:formatCode>
                      <c:ptCount val="5"/>
                      <c:pt idx="0">
                        <c:v>0</c:v>
                      </c:pt>
                      <c:pt idx="1">
                        <c:v>0</c:v>
                      </c:pt>
                      <c:pt idx="2">
                        <c:v>0</c:v>
                      </c:pt>
                      <c:pt idx="3">
                        <c:v>0</c:v>
                      </c:pt>
                      <c:pt idx="4">
                        <c:v>0</c:v>
                      </c:pt>
                    </c:numCache>
                  </c:numRef>
                </c:val>
                <c:extLst xmlns:c15="http://schemas.microsoft.com/office/drawing/2012/chart">
                  <c:ext xmlns:c16="http://schemas.microsoft.com/office/drawing/2014/chart" uri="{C3380CC4-5D6E-409C-BE32-E72D297353CC}">
                    <c16:uniqueId val="{00000001-F647-461F-9211-EB54E90CE38B}"/>
                  </c:ext>
                </c:extLst>
              </c15:ser>
            </c15:filteredBarSeries>
          </c:ext>
        </c:extLst>
      </c:barChart>
      <c:catAx>
        <c:axId val="672766928"/>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64690688"/>
        <c:crosses val="autoZero"/>
        <c:auto val="1"/>
        <c:lblAlgn val="ctr"/>
        <c:lblOffset val="100"/>
        <c:noMultiLvlLbl val="0"/>
      </c:catAx>
      <c:valAx>
        <c:axId val="86469068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7276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GB" sz="1200"/>
              <a:t>Figure 10: Disclosures and Reports received by academic year</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'Trend Monitoring'!$A$39</c:f>
              <c:strCache>
                <c:ptCount val="1"/>
                <c:pt idx="0">
                  <c:v>Disclosed to University</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cat>
            <c:strRef>
              <c:f>'Trend Monitoring'!$F$38:$J$38</c:f>
              <c:strCache>
                <c:ptCount val="5"/>
                <c:pt idx="0">
                  <c:v>2018/19</c:v>
                </c:pt>
                <c:pt idx="1">
                  <c:v>2019/20</c:v>
                </c:pt>
                <c:pt idx="2">
                  <c:v>2020/21</c:v>
                </c:pt>
                <c:pt idx="3">
                  <c:v>2021/22</c:v>
                </c:pt>
                <c:pt idx="4">
                  <c:v>2022/23</c:v>
                </c:pt>
              </c:strCache>
            </c:strRef>
          </c:cat>
          <c:val>
            <c:numRef>
              <c:f>'Trend Monitoring'!$F$39:$J$39</c:f>
              <c:numCache>
                <c:formatCode>General</c:formatCode>
                <c:ptCount val="5"/>
                <c:pt idx="0">
                  <c:v>64</c:v>
                </c:pt>
                <c:pt idx="1">
                  <c:v>126</c:v>
                </c:pt>
                <c:pt idx="2">
                  <c:v>131</c:v>
                </c:pt>
                <c:pt idx="3">
                  <c:v>213</c:v>
                </c:pt>
                <c:pt idx="4">
                  <c:v>274</c:v>
                </c:pt>
              </c:numCache>
            </c:numRef>
          </c:val>
          <c:smooth val="0"/>
          <c:extLst>
            <c:ext xmlns:c16="http://schemas.microsoft.com/office/drawing/2014/chart" uri="{C3380CC4-5D6E-409C-BE32-E72D297353CC}">
              <c16:uniqueId val="{00000000-55C7-490B-B33A-A396ED7D983A}"/>
            </c:ext>
          </c:extLst>
        </c:ser>
        <c:ser>
          <c:idx val="1"/>
          <c:order val="1"/>
          <c:tx>
            <c:strRef>
              <c:f>'Trend Monitoring'!$A$40</c:f>
              <c:strCache>
                <c:ptCount val="1"/>
                <c:pt idx="0">
                  <c:v>Reported to Police </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cat>
            <c:strRef>
              <c:f>'Trend Monitoring'!$F$38:$J$38</c:f>
              <c:strCache>
                <c:ptCount val="5"/>
                <c:pt idx="0">
                  <c:v>2018/19</c:v>
                </c:pt>
                <c:pt idx="1">
                  <c:v>2019/20</c:v>
                </c:pt>
                <c:pt idx="2">
                  <c:v>2020/21</c:v>
                </c:pt>
                <c:pt idx="3">
                  <c:v>2021/22</c:v>
                </c:pt>
                <c:pt idx="4">
                  <c:v>2022/23</c:v>
                </c:pt>
              </c:strCache>
            </c:strRef>
          </c:cat>
          <c:val>
            <c:numRef>
              <c:f>'Trend Monitoring'!$F$40:$J$40</c:f>
              <c:numCache>
                <c:formatCode>General</c:formatCode>
                <c:ptCount val="5"/>
                <c:pt idx="0">
                  <c:v>20</c:v>
                </c:pt>
                <c:pt idx="1">
                  <c:v>23</c:v>
                </c:pt>
                <c:pt idx="2">
                  <c:v>21</c:v>
                </c:pt>
                <c:pt idx="3">
                  <c:v>26</c:v>
                </c:pt>
                <c:pt idx="4">
                  <c:v>72</c:v>
                </c:pt>
              </c:numCache>
            </c:numRef>
          </c:val>
          <c:smooth val="0"/>
          <c:extLst>
            <c:ext xmlns:c16="http://schemas.microsoft.com/office/drawing/2014/chart" uri="{C3380CC4-5D6E-409C-BE32-E72D297353CC}">
              <c16:uniqueId val="{00000001-55C7-490B-B33A-A396ED7D983A}"/>
            </c:ext>
          </c:extLst>
        </c:ser>
        <c:ser>
          <c:idx val="2"/>
          <c:order val="2"/>
          <c:tx>
            <c:strRef>
              <c:f>'Trend Monitoring'!$A$41</c:f>
              <c:strCache>
                <c:ptCount val="1"/>
                <c:pt idx="0">
                  <c:v>Reported to University </c:v>
                </c:pt>
              </c:strCache>
            </c:strRef>
          </c:tx>
          <c:spPr>
            <a:ln w="31750" cap="rnd">
              <a:solidFill>
                <a:schemeClr val="accent4"/>
              </a:solidFill>
              <a:round/>
            </a:ln>
            <a:effectLst>
              <a:outerShdw blurRad="40000" dist="23000" dir="5400000" rotWithShape="0">
                <a:srgbClr val="000000">
                  <a:alpha val="35000"/>
                </a:srgbClr>
              </a:outerShdw>
            </a:effectLst>
          </c:spPr>
          <c:marker>
            <c:symbol val="none"/>
          </c:marker>
          <c:cat>
            <c:strRef>
              <c:f>'Trend Monitoring'!$F$38:$J$38</c:f>
              <c:strCache>
                <c:ptCount val="5"/>
                <c:pt idx="0">
                  <c:v>2018/19</c:v>
                </c:pt>
                <c:pt idx="1">
                  <c:v>2019/20</c:v>
                </c:pt>
                <c:pt idx="2">
                  <c:v>2020/21</c:v>
                </c:pt>
                <c:pt idx="3">
                  <c:v>2021/22</c:v>
                </c:pt>
                <c:pt idx="4">
                  <c:v>2022/23</c:v>
                </c:pt>
              </c:strCache>
            </c:strRef>
          </c:cat>
          <c:val>
            <c:numRef>
              <c:f>'Trend Monitoring'!$F$41:$J$41</c:f>
              <c:numCache>
                <c:formatCode>General</c:formatCode>
                <c:ptCount val="5"/>
                <c:pt idx="0">
                  <c:v>13</c:v>
                </c:pt>
                <c:pt idx="1">
                  <c:v>21</c:v>
                </c:pt>
                <c:pt idx="2">
                  <c:v>46</c:v>
                </c:pt>
                <c:pt idx="3">
                  <c:v>74</c:v>
                </c:pt>
                <c:pt idx="4">
                  <c:v>108</c:v>
                </c:pt>
              </c:numCache>
            </c:numRef>
          </c:val>
          <c:smooth val="0"/>
          <c:extLst>
            <c:ext xmlns:c16="http://schemas.microsoft.com/office/drawing/2014/chart" uri="{C3380CC4-5D6E-409C-BE32-E72D297353CC}">
              <c16:uniqueId val="{00000002-55C7-490B-B33A-A396ED7D983A}"/>
            </c:ext>
          </c:extLst>
        </c:ser>
        <c:dLbls>
          <c:showLegendKey val="0"/>
          <c:showVal val="0"/>
          <c:showCatName val="0"/>
          <c:showSerName val="0"/>
          <c:showPercent val="0"/>
          <c:showBubbleSize val="0"/>
        </c:dLbls>
        <c:smooth val="0"/>
        <c:axId val="552869360"/>
        <c:axId val="552864368"/>
      </c:lineChart>
      <c:catAx>
        <c:axId val="55286936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52864368"/>
        <c:crosses val="autoZero"/>
        <c:auto val="1"/>
        <c:lblAlgn val="ctr"/>
        <c:lblOffset val="100"/>
        <c:noMultiLvlLbl val="0"/>
      </c:catAx>
      <c:valAx>
        <c:axId val="5528643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5286936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1"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r>
              <a:rPr lang="en-GB" sz="1200"/>
              <a:t>Figure 11: Reports to the University</a:t>
            </a:r>
            <a:r>
              <a:rPr lang="en-GB" sz="1200" baseline="0"/>
              <a:t> </a:t>
            </a:r>
            <a:r>
              <a:rPr lang="en-GB" sz="1200"/>
              <a:t>by Month comparing 3 academic years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en-US"/>
        </a:p>
      </c:txPr>
    </c:title>
    <c:autoTitleDeleted val="0"/>
    <c:plotArea>
      <c:layout/>
      <c:lineChart>
        <c:grouping val="standard"/>
        <c:varyColors val="0"/>
        <c:ser>
          <c:idx val="0"/>
          <c:order val="0"/>
          <c:tx>
            <c:strRef>
              <c:f>'SMV Reports'!$A$70</c:f>
              <c:strCache>
                <c:ptCount val="1"/>
                <c:pt idx="0">
                  <c:v>2022-23</c:v>
                </c:pt>
              </c:strCache>
            </c:strRef>
          </c:tx>
          <c:spPr>
            <a:ln w="31750" cap="rnd">
              <a:solidFill>
                <a:schemeClr val="accent6"/>
              </a:solidFill>
              <a:round/>
            </a:ln>
            <a:effectLst>
              <a:outerShdw blurRad="40000" dist="23000" dir="5400000" rotWithShape="0">
                <a:srgbClr val="000000">
                  <a:alpha val="35000"/>
                </a:srgbClr>
              </a:outerShdw>
            </a:effectLst>
          </c:spPr>
          <c:marker>
            <c:symbol val="none"/>
          </c:marker>
          <c:cat>
            <c:strRef>
              <c:f>'SMV Reports'!$B$69:$M$69</c:f>
              <c:strCache>
                <c:ptCount val="12"/>
                <c:pt idx="0">
                  <c:v>October</c:v>
                </c:pt>
                <c:pt idx="1">
                  <c:v>November</c:v>
                </c:pt>
                <c:pt idx="2">
                  <c:v>December</c:v>
                </c:pt>
                <c:pt idx="3">
                  <c:v>January</c:v>
                </c:pt>
                <c:pt idx="4">
                  <c:v>February</c:v>
                </c:pt>
                <c:pt idx="5">
                  <c:v>March</c:v>
                </c:pt>
                <c:pt idx="6">
                  <c:v>April</c:v>
                </c:pt>
                <c:pt idx="7">
                  <c:v>May</c:v>
                </c:pt>
                <c:pt idx="8">
                  <c:v>June</c:v>
                </c:pt>
                <c:pt idx="9">
                  <c:v>July</c:v>
                </c:pt>
                <c:pt idx="10">
                  <c:v>August</c:v>
                </c:pt>
                <c:pt idx="11">
                  <c:v>September</c:v>
                </c:pt>
              </c:strCache>
            </c:strRef>
          </c:cat>
          <c:val>
            <c:numRef>
              <c:f>'SMV Reports'!$B$70:$M$70</c:f>
              <c:numCache>
                <c:formatCode>General</c:formatCode>
                <c:ptCount val="12"/>
                <c:pt idx="0">
                  <c:v>3</c:v>
                </c:pt>
                <c:pt idx="1">
                  <c:v>10</c:v>
                </c:pt>
                <c:pt idx="2">
                  <c:v>2</c:v>
                </c:pt>
                <c:pt idx="3">
                  <c:v>11</c:v>
                </c:pt>
                <c:pt idx="4">
                  <c:v>15</c:v>
                </c:pt>
                <c:pt idx="5">
                  <c:v>22</c:v>
                </c:pt>
                <c:pt idx="6">
                  <c:v>8</c:v>
                </c:pt>
                <c:pt idx="7">
                  <c:v>11</c:v>
                </c:pt>
                <c:pt idx="8">
                  <c:v>11</c:v>
                </c:pt>
                <c:pt idx="9">
                  <c:v>6</c:v>
                </c:pt>
                <c:pt idx="10">
                  <c:v>5</c:v>
                </c:pt>
                <c:pt idx="11">
                  <c:v>4</c:v>
                </c:pt>
              </c:numCache>
            </c:numRef>
          </c:val>
          <c:smooth val="0"/>
          <c:extLst>
            <c:ext xmlns:c16="http://schemas.microsoft.com/office/drawing/2014/chart" uri="{C3380CC4-5D6E-409C-BE32-E72D297353CC}">
              <c16:uniqueId val="{00000000-BF88-471C-921C-965B6F2E6F22}"/>
            </c:ext>
          </c:extLst>
        </c:ser>
        <c:ser>
          <c:idx val="1"/>
          <c:order val="1"/>
          <c:tx>
            <c:strRef>
              <c:f>'SMV Reports'!$A$71</c:f>
              <c:strCache>
                <c:ptCount val="1"/>
                <c:pt idx="0">
                  <c:v>2021-22</c:v>
                </c:pt>
              </c:strCache>
            </c:strRef>
          </c:tx>
          <c:spPr>
            <a:ln w="31750" cap="rnd">
              <a:solidFill>
                <a:schemeClr val="accent5"/>
              </a:solidFill>
              <a:round/>
            </a:ln>
            <a:effectLst>
              <a:outerShdw blurRad="40000" dist="23000" dir="5400000" rotWithShape="0">
                <a:srgbClr val="000000">
                  <a:alpha val="35000"/>
                </a:srgbClr>
              </a:outerShdw>
            </a:effectLst>
          </c:spPr>
          <c:marker>
            <c:symbol val="none"/>
          </c:marker>
          <c:cat>
            <c:strRef>
              <c:f>'SMV Reports'!$B$69:$M$69</c:f>
              <c:strCache>
                <c:ptCount val="12"/>
                <c:pt idx="0">
                  <c:v>October</c:v>
                </c:pt>
                <c:pt idx="1">
                  <c:v>November</c:v>
                </c:pt>
                <c:pt idx="2">
                  <c:v>December</c:v>
                </c:pt>
                <c:pt idx="3">
                  <c:v>January</c:v>
                </c:pt>
                <c:pt idx="4">
                  <c:v>February</c:v>
                </c:pt>
                <c:pt idx="5">
                  <c:v>March</c:v>
                </c:pt>
                <c:pt idx="6">
                  <c:v>April</c:v>
                </c:pt>
                <c:pt idx="7">
                  <c:v>May</c:v>
                </c:pt>
                <c:pt idx="8">
                  <c:v>June</c:v>
                </c:pt>
                <c:pt idx="9">
                  <c:v>July</c:v>
                </c:pt>
                <c:pt idx="10">
                  <c:v>August</c:v>
                </c:pt>
                <c:pt idx="11">
                  <c:v>September</c:v>
                </c:pt>
              </c:strCache>
            </c:strRef>
          </c:cat>
          <c:val>
            <c:numRef>
              <c:f>'SMV Reports'!$B$71:$M$71</c:f>
              <c:numCache>
                <c:formatCode>General</c:formatCode>
                <c:ptCount val="12"/>
                <c:pt idx="0">
                  <c:v>13</c:v>
                </c:pt>
                <c:pt idx="1">
                  <c:v>16</c:v>
                </c:pt>
                <c:pt idx="2">
                  <c:v>8</c:v>
                </c:pt>
                <c:pt idx="3">
                  <c:v>10</c:v>
                </c:pt>
                <c:pt idx="4">
                  <c:v>4</c:v>
                </c:pt>
                <c:pt idx="5">
                  <c:v>6</c:v>
                </c:pt>
                <c:pt idx="6">
                  <c:v>5</c:v>
                </c:pt>
                <c:pt idx="7">
                  <c:v>7</c:v>
                </c:pt>
                <c:pt idx="8">
                  <c:v>3</c:v>
                </c:pt>
                <c:pt idx="9">
                  <c:v>3</c:v>
                </c:pt>
                <c:pt idx="10">
                  <c:v>1</c:v>
                </c:pt>
                <c:pt idx="11">
                  <c:v>1</c:v>
                </c:pt>
              </c:numCache>
            </c:numRef>
          </c:val>
          <c:smooth val="0"/>
          <c:extLst>
            <c:ext xmlns:c16="http://schemas.microsoft.com/office/drawing/2014/chart" uri="{C3380CC4-5D6E-409C-BE32-E72D297353CC}">
              <c16:uniqueId val="{00000001-BF88-471C-921C-965B6F2E6F22}"/>
            </c:ext>
          </c:extLst>
        </c:ser>
        <c:ser>
          <c:idx val="2"/>
          <c:order val="2"/>
          <c:tx>
            <c:strRef>
              <c:f>'SMV Reports'!$A$72</c:f>
              <c:strCache>
                <c:ptCount val="1"/>
                <c:pt idx="0">
                  <c:v>2020-21</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cat>
            <c:strRef>
              <c:f>'SMV Reports'!$B$69:$M$69</c:f>
              <c:strCache>
                <c:ptCount val="12"/>
                <c:pt idx="0">
                  <c:v>October</c:v>
                </c:pt>
                <c:pt idx="1">
                  <c:v>November</c:v>
                </c:pt>
                <c:pt idx="2">
                  <c:v>December</c:v>
                </c:pt>
                <c:pt idx="3">
                  <c:v>January</c:v>
                </c:pt>
                <c:pt idx="4">
                  <c:v>February</c:v>
                </c:pt>
                <c:pt idx="5">
                  <c:v>March</c:v>
                </c:pt>
                <c:pt idx="6">
                  <c:v>April</c:v>
                </c:pt>
                <c:pt idx="7">
                  <c:v>May</c:v>
                </c:pt>
                <c:pt idx="8">
                  <c:v>June</c:v>
                </c:pt>
                <c:pt idx="9">
                  <c:v>July</c:v>
                </c:pt>
                <c:pt idx="10">
                  <c:v>August</c:v>
                </c:pt>
                <c:pt idx="11">
                  <c:v>September</c:v>
                </c:pt>
              </c:strCache>
            </c:strRef>
          </c:cat>
          <c:val>
            <c:numRef>
              <c:f>'SMV Reports'!$B$72:$M$72</c:f>
              <c:numCache>
                <c:formatCode>General</c:formatCode>
                <c:ptCount val="12"/>
                <c:pt idx="0">
                  <c:v>5</c:v>
                </c:pt>
                <c:pt idx="1">
                  <c:v>2</c:v>
                </c:pt>
                <c:pt idx="2">
                  <c:v>1</c:v>
                </c:pt>
                <c:pt idx="3">
                  <c:v>3</c:v>
                </c:pt>
                <c:pt idx="4">
                  <c:v>5</c:v>
                </c:pt>
                <c:pt idx="5">
                  <c:v>2</c:v>
                </c:pt>
                <c:pt idx="6">
                  <c:v>3</c:v>
                </c:pt>
                <c:pt idx="7">
                  <c:v>4</c:v>
                </c:pt>
                <c:pt idx="8">
                  <c:v>4</c:v>
                </c:pt>
                <c:pt idx="9">
                  <c:v>1</c:v>
                </c:pt>
                <c:pt idx="10">
                  <c:v>6</c:v>
                </c:pt>
                <c:pt idx="11">
                  <c:v>4</c:v>
                </c:pt>
              </c:numCache>
            </c:numRef>
          </c:val>
          <c:smooth val="0"/>
          <c:extLst>
            <c:ext xmlns:c16="http://schemas.microsoft.com/office/drawing/2014/chart" uri="{C3380CC4-5D6E-409C-BE32-E72D297353CC}">
              <c16:uniqueId val="{00000002-BF88-471C-921C-965B6F2E6F22}"/>
            </c:ext>
          </c:extLst>
        </c:ser>
        <c:dLbls>
          <c:showLegendKey val="0"/>
          <c:showVal val="0"/>
          <c:showCatName val="0"/>
          <c:showSerName val="0"/>
          <c:showPercent val="0"/>
          <c:showBubbleSize val="0"/>
        </c:dLbls>
        <c:smooth val="0"/>
        <c:axId val="787839136"/>
        <c:axId val="547408272"/>
      </c:lineChart>
      <c:catAx>
        <c:axId val="78783913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547408272"/>
        <c:crosses val="autoZero"/>
        <c:auto val="1"/>
        <c:lblAlgn val="ctr"/>
        <c:lblOffset val="100"/>
        <c:noMultiLvlLbl val="0"/>
      </c:catAx>
      <c:valAx>
        <c:axId val="5474082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8783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r>
              <a:rPr lang="en-GB" sz="1200">
                <a:solidFill>
                  <a:schemeClr val="tx1"/>
                </a:solidFill>
              </a:rPr>
              <a:t>Figure 12: Reports and Dislcosures by Month during the 2022/23 AY</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4.9743973971708447E-2"/>
          <c:y val="0.15514884233737597"/>
          <c:w val="0.92742734490346013"/>
          <c:h val="0.5275420396044761"/>
        </c:manualLayout>
      </c:layout>
      <c:barChart>
        <c:barDir val="col"/>
        <c:grouping val="stacked"/>
        <c:varyColors val="0"/>
        <c:ser>
          <c:idx val="0"/>
          <c:order val="0"/>
          <c:tx>
            <c:strRef>
              <c:f>'SMV Reports'!$A$80</c:f>
              <c:strCache>
                <c:ptCount val="1"/>
                <c:pt idx="0">
                  <c:v>Reports to the University</c:v>
                </c:pt>
              </c:strCache>
            </c:strRef>
          </c:tx>
          <c:spPr>
            <a:solidFill>
              <a:schemeClr val="accent4"/>
            </a:solidFill>
            <a:ln>
              <a:noFill/>
            </a:ln>
            <a:effectLst>
              <a:outerShdw blurRad="40000" dist="23000" dir="5400000" rotWithShape="0">
                <a:srgbClr val="000000">
                  <a:alpha val="35000"/>
                </a:srgbClr>
              </a:outerShdw>
            </a:effectLst>
          </c:spPr>
          <c:invertIfNegative val="0"/>
          <c:cat>
            <c:strRef>
              <c:f>'SMV Reports'!$B$79:$M$79</c:f>
              <c:strCache>
                <c:ptCount val="12"/>
                <c:pt idx="0">
                  <c:v>October</c:v>
                </c:pt>
                <c:pt idx="1">
                  <c:v>November</c:v>
                </c:pt>
                <c:pt idx="2">
                  <c:v>December</c:v>
                </c:pt>
                <c:pt idx="3">
                  <c:v>January</c:v>
                </c:pt>
                <c:pt idx="4">
                  <c:v>February</c:v>
                </c:pt>
                <c:pt idx="5">
                  <c:v>March</c:v>
                </c:pt>
                <c:pt idx="6">
                  <c:v>April</c:v>
                </c:pt>
                <c:pt idx="7">
                  <c:v>May</c:v>
                </c:pt>
                <c:pt idx="8">
                  <c:v>June</c:v>
                </c:pt>
                <c:pt idx="9">
                  <c:v>July</c:v>
                </c:pt>
                <c:pt idx="10">
                  <c:v>August</c:v>
                </c:pt>
                <c:pt idx="11">
                  <c:v>September</c:v>
                </c:pt>
              </c:strCache>
            </c:strRef>
          </c:cat>
          <c:val>
            <c:numRef>
              <c:f>'SMV Reports'!$B$80:$M$80</c:f>
              <c:numCache>
                <c:formatCode>General</c:formatCode>
                <c:ptCount val="12"/>
                <c:pt idx="0">
                  <c:v>3</c:v>
                </c:pt>
                <c:pt idx="1">
                  <c:v>10</c:v>
                </c:pt>
                <c:pt idx="2">
                  <c:v>2</c:v>
                </c:pt>
                <c:pt idx="3">
                  <c:v>11</c:v>
                </c:pt>
                <c:pt idx="4">
                  <c:v>15</c:v>
                </c:pt>
                <c:pt idx="5">
                  <c:v>22</c:v>
                </c:pt>
                <c:pt idx="6">
                  <c:v>8</c:v>
                </c:pt>
                <c:pt idx="7">
                  <c:v>11</c:v>
                </c:pt>
                <c:pt idx="8">
                  <c:v>11</c:v>
                </c:pt>
                <c:pt idx="9">
                  <c:v>6</c:v>
                </c:pt>
                <c:pt idx="10">
                  <c:v>5</c:v>
                </c:pt>
                <c:pt idx="11">
                  <c:v>4</c:v>
                </c:pt>
              </c:numCache>
            </c:numRef>
          </c:val>
          <c:extLst>
            <c:ext xmlns:c16="http://schemas.microsoft.com/office/drawing/2014/chart" uri="{C3380CC4-5D6E-409C-BE32-E72D297353CC}">
              <c16:uniqueId val="{00000000-2B2D-4647-962F-87F9F3986DA7}"/>
            </c:ext>
          </c:extLst>
        </c:ser>
        <c:ser>
          <c:idx val="1"/>
          <c:order val="1"/>
          <c:tx>
            <c:strRef>
              <c:f>'SMV Reports'!$A$81</c:f>
              <c:strCache>
                <c:ptCount val="1"/>
                <c:pt idx="0">
                  <c:v>Anonymous Reports</c:v>
                </c:pt>
              </c:strCache>
            </c:strRef>
          </c:tx>
          <c:spPr>
            <a:solidFill>
              <a:schemeClr val="accent6"/>
            </a:solidFill>
            <a:ln>
              <a:noFill/>
            </a:ln>
            <a:effectLst>
              <a:outerShdw blurRad="40000" dist="23000" dir="5400000" rotWithShape="0">
                <a:srgbClr val="000000">
                  <a:alpha val="35000"/>
                </a:srgbClr>
              </a:outerShdw>
            </a:effectLst>
          </c:spPr>
          <c:invertIfNegative val="0"/>
          <c:cat>
            <c:strRef>
              <c:f>'SMV Reports'!$B$79:$M$79</c:f>
              <c:strCache>
                <c:ptCount val="12"/>
                <c:pt idx="0">
                  <c:v>October</c:v>
                </c:pt>
                <c:pt idx="1">
                  <c:v>November</c:v>
                </c:pt>
                <c:pt idx="2">
                  <c:v>December</c:v>
                </c:pt>
                <c:pt idx="3">
                  <c:v>January</c:v>
                </c:pt>
                <c:pt idx="4">
                  <c:v>February</c:v>
                </c:pt>
                <c:pt idx="5">
                  <c:v>March</c:v>
                </c:pt>
                <c:pt idx="6">
                  <c:v>April</c:v>
                </c:pt>
                <c:pt idx="7">
                  <c:v>May</c:v>
                </c:pt>
                <c:pt idx="8">
                  <c:v>June</c:v>
                </c:pt>
                <c:pt idx="9">
                  <c:v>July</c:v>
                </c:pt>
                <c:pt idx="10">
                  <c:v>August</c:v>
                </c:pt>
                <c:pt idx="11">
                  <c:v>September</c:v>
                </c:pt>
              </c:strCache>
            </c:strRef>
          </c:cat>
          <c:val>
            <c:numRef>
              <c:f>'SMV Reports'!$B$81:$M$81</c:f>
              <c:numCache>
                <c:formatCode>General</c:formatCode>
                <c:ptCount val="12"/>
                <c:pt idx="0">
                  <c:v>7</c:v>
                </c:pt>
                <c:pt idx="1">
                  <c:v>11</c:v>
                </c:pt>
                <c:pt idx="2">
                  <c:v>1</c:v>
                </c:pt>
                <c:pt idx="3">
                  <c:v>4</c:v>
                </c:pt>
                <c:pt idx="4">
                  <c:v>3</c:v>
                </c:pt>
                <c:pt idx="5">
                  <c:v>3</c:v>
                </c:pt>
                <c:pt idx="6">
                  <c:v>0</c:v>
                </c:pt>
                <c:pt idx="7">
                  <c:v>3</c:v>
                </c:pt>
                <c:pt idx="8">
                  <c:v>2</c:v>
                </c:pt>
                <c:pt idx="9">
                  <c:v>2</c:v>
                </c:pt>
                <c:pt idx="10">
                  <c:v>1</c:v>
                </c:pt>
                <c:pt idx="11">
                  <c:v>0</c:v>
                </c:pt>
              </c:numCache>
            </c:numRef>
          </c:val>
          <c:extLst>
            <c:ext xmlns:c16="http://schemas.microsoft.com/office/drawing/2014/chart" uri="{C3380CC4-5D6E-409C-BE32-E72D297353CC}">
              <c16:uniqueId val="{00000001-2B2D-4647-962F-87F9F3986DA7}"/>
            </c:ext>
          </c:extLst>
        </c:ser>
        <c:ser>
          <c:idx val="2"/>
          <c:order val="2"/>
          <c:tx>
            <c:strRef>
              <c:f>'SMV Reports'!$A$82</c:f>
              <c:strCache>
                <c:ptCount val="1"/>
                <c:pt idx="0">
                  <c:v>Disclosures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'SMV Reports'!$B$79:$M$79</c:f>
              <c:strCache>
                <c:ptCount val="12"/>
                <c:pt idx="0">
                  <c:v>October</c:v>
                </c:pt>
                <c:pt idx="1">
                  <c:v>November</c:v>
                </c:pt>
                <c:pt idx="2">
                  <c:v>December</c:v>
                </c:pt>
                <c:pt idx="3">
                  <c:v>January</c:v>
                </c:pt>
                <c:pt idx="4">
                  <c:v>February</c:v>
                </c:pt>
                <c:pt idx="5">
                  <c:v>March</c:v>
                </c:pt>
                <c:pt idx="6">
                  <c:v>April</c:v>
                </c:pt>
                <c:pt idx="7">
                  <c:v>May</c:v>
                </c:pt>
                <c:pt idx="8">
                  <c:v>June</c:v>
                </c:pt>
                <c:pt idx="9">
                  <c:v>July</c:v>
                </c:pt>
                <c:pt idx="10">
                  <c:v>August</c:v>
                </c:pt>
                <c:pt idx="11">
                  <c:v>September</c:v>
                </c:pt>
              </c:strCache>
            </c:strRef>
          </c:cat>
          <c:val>
            <c:numRef>
              <c:f>'SMV Reports'!$B$82:$M$82</c:f>
              <c:numCache>
                <c:formatCode>General</c:formatCode>
                <c:ptCount val="12"/>
                <c:pt idx="0">
                  <c:v>23</c:v>
                </c:pt>
                <c:pt idx="1">
                  <c:v>28</c:v>
                </c:pt>
                <c:pt idx="2">
                  <c:v>5</c:v>
                </c:pt>
                <c:pt idx="3">
                  <c:v>32</c:v>
                </c:pt>
                <c:pt idx="4">
                  <c:v>31</c:v>
                </c:pt>
                <c:pt idx="5">
                  <c:v>26</c:v>
                </c:pt>
                <c:pt idx="6">
                  <c:v>14</c:v>
                </c:pt>
                <c:pt idx="7">
                  <c:v>24</c:v>
                </c:pt>
                <c:pt idx="8">
                  <c:v>16</c:v>
                </c:pt>
                <c:pt idx="9">
                  <c:v>8</c:v>
                </c:pt>
                <c:pt idx="10">
                  <c:v>11</c:v>
                </c:pt>
                <c:pt idx="11">
                  <c:v>19</c:v>
                </c:pt>
              </c:numCache>
            </c:numRef>
          </c:val>
          <c:extLst>
            <c:ext xmlns:c16="http://schemas.microsoft.com/office/drawing/2014/chart" uri="{C3380CC4-5D6E-409C-BE32-E72D297353CC}">
              <c16:uniqueId val="{00000002-2B2D-4647-962F-87F9F3986DA7}"/>
            </c:ext>
          </c:extLst>
        </c:ser>
        <c:dLbls>
          <c:showLegendKey val="0"/>
          <c:showVal val="0"/>
          <c:showCatName val="0"/>
          <c:showSerName val="0"/>
          <c:showPercent val="0"/>
          <c:showBubbleSize val="0"/>
        </c:dLbls>
        <c:gapWidth val="150"/>
        <c:overlap val="100"/>
        <c:axId val="941603296"/>
        <c:axId val="551626752"/>
      </c:barChart>
      <c:catAx>
        <c:axId val="941603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551626752"/>
        <c:crosses val="autoZero"/>
        <c:auto val="1"/>
        <c:lblAlgn val="ctr"/>
        <c:lblOffset val="100"/>
        <c:noMultiLvlLbl val="0"/>
      </c:catAx>
      <c:valAx>
        <c:axId val="5516267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94160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solidFill>
                  <a:sysClr val="windowText" lastClr="000000"/>
                </a:solidFill>
              </a:rPr>
              <a:t>Figure 2: Gender of Reporting Party 2022/23 AY (n=274)</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'Trend Monitoring'!$J$97</c:f>
              <c:strCache>
                <c:ptCount val="1"/>
                <c:pt idx="0">
                  <c:v>2022/23</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5334-4869-B822-FFA188811EA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5334-4869-B822-FFA188811EA4}"/>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5334-4869-B822-FFA188811EA4}"/>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5334-4869-B822-FFA188811EA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'Trend Monitoring'!$A$98:$A$101</c:f>
              <c:strCache>
                <c:ptCount val="4"/>
                <c:pt idx="0">
                  <c:v>Man</c:v>
                </c:pt>
                <c:pt idx="1">
                  <c:v>Woman</c:v>
                </c:pt>
                <c:pt idx="2">
                  <c:v>Transgender/Non-Binary</c:v>
                </c:pt>
                <c:pt idx="3">
                  <c:v>Not Disclosed</c:v>
                </c:pt>
              </c:strCache>
            </c:strRef>
          </c:cat>
          <c:val>
            <c:numRef>
              <c:f>'Trend Monitoring'!$J$98:$J$101</c:f>
              <c:numCache>
                <c:formatCode>General</c:formatCode>
                <c:ptCount val="4"/>
                <c:pt idx="0">
                  <c:v>40</c:v>
                </c:pt>
                <c:pt idx="1">
                  <c:v>206</c:v>
                </c:pt>
                <c:pt idx="2">
                  <c:v>9</c:v>
                </c:pt>
                <c:pt idx="3">
                  <c:v>18</c:v>
                </c:pt>
              </c:numCache>
            </c:numRef>
          </c:val>
          <c:extLst>
            <c:ext xmlns:c16="http://schemas.microsoft.com/office/drawing/2014/chart" uri="{C3380CC4-5D6E-409C-BE32-E72D297353CC}">
              <c16:uniqueId val="{00000008-5334-4869-B822-FFA188811EA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GB" sz="1200">
                <a:solidFill>
                  <a:sysClr val="windowText" lastClr="000000"/>
                </a:solidFill>
              </a:rPr>
              <a:t>Figure</a:t>
            </a:r>
            <a:r>
              <a:rPr lang="en-GB" sz="1200" baseline="0">
                <a:solidFill>
                  <a:sysClr val="windowText" lastClr="000000"/>
                </a:solidFill>
              </a:rPr>
              <a:t> 3: </a:t>
            </a:r>
            <a:r>
              <a:rPr lang="en-GB" sz="1200">
                <a:solidFill>
                  <a:sysClr val="windowText" lastClr="000000"/>
                </a:solidFill>
              </a:rPr>
              <a:t>Sexual Identity of Reporting Party 2022/23 AY (n=274)</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54E9-4341-9723-716833DC835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54E9-4341-9723-716833DC8355}"/>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54E9-4341-9723-716833DC8355}"/>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54E9-4341-9723-716833DC8355}"/>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54E9-4341-9723-716833DC8355}"/>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54E9-4341-9723-716833DC8355}"/>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D-54E9-4341-9723-716833DC8355}"/>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'Trend Monitoring'!$A$221:$A$227</c:f>
              <c:strCache>
                <c:ptCount val="7"/>
                <c:pt idx="0">
                  <c:v>Asexual</c:v>
                </c:pt>
                <c:pt idx="1">
                  <c:v>Bisexual</c:v>
                </c:pt>
                <c:pt idx="2">
                  <c:v>Gay/lesbian (Homosexual)</c:v>
                </c:pt>
                <c:pt idx="3">
                  <c:v>Heterosexual</c:v>
                </c:pt>
                <c:pt idx="4">
                  <c:v>Queer</c:v>
                </c:pt>
                <c:pt idx="5">
                  <c:v>None of the above</c:v>
                </c:pt>
                <c:pt idx="6">
                  <c:v>Not Disclosed</c:v>
                </c:pt>
              </c:strCache>
            </c:strRef>
          </c:cat>
          <c:val>
            <c:numRef>
              <c:f>'Trend Monitoring'!$D$221:$D$227</c:f>
              <c:numCache>
                <c:formatCode>General</c:formatCode>
                <c:ptCount val="7"/>
                <c:pt idx="0">
                  <c:v>2</c:v>
                </c:pt>
                <c:pt idx="1">
                  <c:v>16</c:v>
                </c:pt>
                <c:pt idx="2">
                  <c:v>17</c:v>
                </c:pt>
                <c:pt idx="3">
                  <c:v>52</c:v>
                </c:pt>
                <c:pt idx="4">
                  <c:v>7</c:v>
                </c:pt>
                <c:pt idx="5">
                  <c:v>1</c:v>
                </c:pt>
                <c:pt idx="6">
                  <c:v>179</c:v>
                </c:pt>
              </c:numCache>
            </c:numRef>
          </c:val>
          <c:extLst>
            <c:ext xmlns:c16="http://schemas.microsoft.com/office/drawing/2014/chart" uri="{C3380CC4-5D6E-409C-BE32-E72D297353CC}">
              <c16:uniqueId val="{0000000E-54E9-4341-9723-716833DC8355}"/>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GB" sz="1200">
                <a:solidFill>
                  <a:sysClr val="windowText" lastClr="000000"/>
                </a:solidFill>
              </a:rPr>
              <a:t>Figure</a:t>
            </a:r>
            <a:r>
              <a:rPr lang="en-GB" sz="1200" baseline="0">
                <a:solidFill>
                  <a:sysClr val="windowText" lastClr="000000"/>
                </a:solidFill>
              </a:rPr>
              <a:t> 4: </a:t>
            </a:r>
            <a:r>
              <a:rPr lang="en-GB" sz="1200">
                <a:solidFill>
                  <a:sysClr val="windowText" lastClr="000000"/>
                </a:solidFill>
              </a:rPr>
              <a:t>Race/Ethnicity of Reporting Party 2022/23 AY (n=274)</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3C63-48B9-80F7-45422FEF6EAD}"/>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3C63-48B9-80F7-45422FEF6EAD}"/>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3C63-48B9-80F7-45422FEF6EAD}"/>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3C63-48B9-80F7-45422FEF6EAD}"/>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3C63-48B9-80F7-45422FEF6EAD}"/>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3C63-48B9-80F7-45422FEF6EAD}"/>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D-3C63-48B9-80F7-45422FEF6EAD}"/>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F-3C63-48B9-80F7-45422FEF6EAD}"/>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1-3C63-48B9-80F7-45422FEF6EAD}"/>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3-3C63-48B9-80F7-45422FEF6EAD}"/>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5-3C63-48B9-80F7-45422FEF6EAD}"/>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7-3C63-48B9-80F7-45422FEF6EAD}"/>
              </c:ext>
            </c:extLst>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9-3C63-48B9-80F7-45422FEF6EAD}"/>
              </c:ext>
            </c:extLst>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B-3C63-48B9-80F7-45422FEF6EAD}"/>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'Trend Monitoring'!$A$204:$A$217</c:f>
              <c:strCache>
                <c:ptCount val="14"/>
                <c:pt idx="0">
                  <c:v>Afghani</c:v>
                </c:pt>
                <c:pt idx="1">
                  <c:v>Any other Asian background</c:v>
                </c:pt>
                <c:pt idx="2">
                  <c:v>Any other Middle Eastern background</c:v>
                </c:pt>
                <c:pt idx="3">
                  <c:v>Any other White background</c:v>
                </c:pt>
                <c:pt idx="4">
                  <c:v>Asian British </c:v>
                </c:pt>
                <c:pt idx="5">
                  <c:v>Black British</c:v>
                </c:pt>
                <c:pt idx="6">
                  <c:v>Chinese</c:v>
                </c:pt>
                <c:pt idx="7">
                  <c:v>Indian</c:v>
                </c:pt>
                <c:pt idx="8">
                  <c:v>Pakistani</c:v>
                </c:pt>
                <c:pt idx="9">
                  <c:v>White British</c:v>
                </c:pt>
                <c:pt idx="10">
                  <c:v>White Eastern European</c:v>
                </c:pt>
                <c:pt idx="11">
                  <c:v>White Irish</c:v>
                </c:pt>
                <c:pt idx="12">
                  <c:v>White Western European</c:v>
                </c:pt>
                <c:pt idx="13">
                  <c:v>Not Disclosed</c:v>
                </c:pt>
              </c:strCache>
            </c:strRef>
          </c:cat>
          <c:val>
            <c:numRef>
              <c:f>'Trend Monitoring'!$D$204:$D$217</c:f>
              <c:numCache>
                <c:formatCode>General</c:formatCode>
                <c:ptCount val="14"/>
                <c:pt idx="0">
                  <c:v>1</c:v>
                </c:pt>
                <c:pt idx="1">
                  <c:v>2</c:v>
                </c:pt>
                <c:pt idx="2">
                  <c:v>2</c:v>
                </c:pt>
                <c:pt idx="3">
                  <c:v>9</c:v>
                </c:pt>
                <c:pt idx="4">
                  <c:v>3</c:v>
                </c:pt>
                <c:pt idx="5">
                  <c:v>4</c:v>
                </c:pt>
                <c:pt idx="6">
                  <c:v>9</c:v>
                </c:pt>
                <c:pt idx="7">
                  <c:v>5</c:v>
                </c:pt>
                <c:pt idx="8">
                  <c:v>3</c:v>
                </c:pt>
                <c:pt idx="9">
                  <c:v>71</c:v>
                </c:pt>
                <c:pt idx="10">
                  <c:v>1</c:v>
                </c:pt>
                <c:pt idx="11">
                  <c:v>2</c:v>
                </c:pt>
                <c:pt idx="12">
                  <c:v>2</c:v>
                </c:pt>
                <c:pt idx="13">
                  <c:v>160</c:v>
                </c:pt>
              </c:numCache>
            </c:numRef>
          </c:val>
          <c:extLst>
            <c:ext xmlns:c16="http://schemas.microsoft.com/office/drawing/2014/chart" uri="{C3380CC4-5D6E-409C-BE32-E72D297353CC}">
              <c16:uniqueId val="{0000001C-3C63-48B9-80F7-45422FEF6EA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GB" sz="1200">
                <a:solidFill>
                  <a:sysClr val="windowText" lastClr="000000"/>
                </a:solidFill>
              </a:rPr>
              <a:t>Figure 5: Disability Status of Reporting Party 2022/23 AY (n=274)</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7C14-4794-BA4D-2E1A874DF57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7C14-4794-BA4D-2E1A874DF575}"/>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7C14-4794-BA4D-2E1A874DF575}"/>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'Trend Monitoring'!$A$252:$A$254</c:f>
              <c:strCache>
                <c:ptCount val="3"/>
                <c:pt idx="0">
                  <c:v>No</c:v>
                </c:pt>
                <c:pt idx="1">
                  <c:v>Yes</c:v>
                </c:pt>
                <c:pt idx="2">
                  <c:v>Not Disclosed</c:v>
                </c:pt>
              </c:strCache>
            </c:strRef>
          </c:cat>
          <c:val>
            <c:numRef>
              <c:f>'Trend Monitoring'!$D$252:$D$254</c:f>
              <c:numCache>
                <c:formatCode>General</c:formatCode>
                <c:ptCount val="3"/>
                <c:pt idx="0">
                  <c:v>79</c:v>
                </c:pt>
                <c:pt idx="1">
                  <c:v>29</c:v>
                </c:pt>
                <c:pt idx="2">
                  <c:v>166</c:v>
                </c:pt>
              </c:numCache>
            </c:numRef>
          </c:val>
          <c:extLst>
            <c:ext xmlns:c16="http://schemas.microsoft.com/office/drawing/2014/chart" uri="{C3380CC4-5D6E-409C-BE32-E72D297353CC}">
              <c16:uniqueId val="{00000006-7C14-4794-BA4D-2E1A874DF575}"/>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GB" sz="1200"/>
              <a:t>Figure 6: Faith/Belief of Reporting Party 2022/23 AY (n=274)</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41FF-4686-83CC-8780E7A4EF0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41FF-4686-83CC-8780E7A4EF05}"/>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41FF-4686-83CC-8780E7A4EF05}"/>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41FF-4686-83CC-8780E7A4EF05}"/>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41FF-4686-83CC-8780E7A4EF05}"/>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41FF-4686-83CC-8780E7A4EF05}"/>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D-41FF-4686-83CC-8780E7A4EF05}"/>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F-41FF-4686-83CC-8780E7A4EF05}"/>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1-41FF-4686-83CC-8780E7A4EF05}"/>
              </c:ext>
            </c:extLst>
          </c:dPt>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'Trend Monitoring'!$A$240:$A$248</c:f>
              <c:strCache>
                <c:ptCount val="9"/>
                <c:pt idx="0">
                  <c:v>Agnostic</c:v>
                </c:pt>
                <c:pt idx="1">
                  <c:v>Buddhist</c:v>
                </c:pt>
                <c:pt idx="2">
                  <c:v>Christian</c:v>
                </c:pt>
                <c:pt idx="3">
                  <c:v>Hindu</c:v>
                </c:pt>
                <c:pt idx="4">
                  <c:v>Muslim</c:v>
                </c:pt>
                <c:pt idx="5">
                  <c:v>No religion</c:v>
                </c:pt>
                <c:pt idx="6">
                  <c:v>Spiritual</c:v>
                </c:pt>
                <c:pt idx="7">
                  <c:v>None of the above</c:v>
                </c:pt>
                <c:pt idx="8">
                  <c:v>Not Disclosed</c:v>
                </c:pt>
              </c:strCache>
            </c:strRef>
          </c:cat>
          <c:val>
            <c:numRef>
              <c:f>'Trend Monitoring'!$D$240:$D$248</c:f>
              <c:numCache>
                <c:formatCode>General</c:formatCode>
                <c:ptCount val="9"/>
                <c:pt idx="0">
                  <c:v>15</c:v>
                </c:pt>
                <c:pt idx="1">
                  <c:v>2</c:v>
                </c:pt>
                <c:pt idx="2">
                  <c:v>18</c:v>
                </c:pt>
                <c:pt idx="3">
                  <c:v>3</c:v>
                </c:pt>
                <c:pt idx="4">
                  <c:v>7</c:v>
                </c:pt>
                <c:pt idx="5">
                  <c:v>37</c:v>
                </c:pt>
                <c:pt idx="6">
                  <c:v>5</c:v>
                </c:pt>
                <c:pt idx="7">
                  <c:v>14</c:v>
                </c:pt>
                <c:pt idx="8">
                  <c:v>173</c:v>
                </c:pt>
              </c:numCache>
            </c:numRef>
          </c:val>
          <c:extLst>
            <c:ext xmlns:c16="http://schemas.microsoft.com/office/drawing/2014/chart" uri="{C3380CC4-5D6E-409C-BE32-E72D297353CC}">
              <c16:uniqueId val="{00000012-41FF-4686-83CC-8780E7A4EF05}"/>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b="1">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t>Figure 7: Type of SMV Disclosed during the 2022/23 AY (n=361)</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'Trend Monitoring'!$K$82</c:f>
              <c:strCache>
                <c:ptCount val="1"/>
                <c:pt idx="0">
                  <c:v>2022/23</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42E1-4EE3-8FAA-89AE703C4C1C}"/>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42E1-4EE3-8FAA-89AE703C4C1C}"/>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42E1-4EE3-8FAA-89AE703C4C1C}"/>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42E1-4EE3-8FAA-89AE703C4C1C}"/>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42E1-4EE3-8FAA-89AE703C4C1C}"/>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42E1-4EE3-8FAA-89AE703C4C1C}"/>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D-42E1-4EE3-8FAA-89AE703C4C1C}"/>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F-42E1-4EE3-8FAA-89AE703C4C1C}"/>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1-42E1-4EE3-8FAA-89AE703C4C1C}"/>
              </c:ext>
            </c:extLst>
          </c:dPt>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'Trend Monitoring'!$B$83:$B$91</c:f>
              <c:strCache>
                <c:ptCount val="9"/>
                <c:pt idx="0">
                  <c:v>Rape / Assault by Penetration </c:v>
                </c:pt>
                <c:pt idx="1">
                  <c:v>Sexual Assualt</c:v>
                </c:pt>
                <c:pt idx="2">
                  <c:v>Sexual Harassment </c:v>
                </c:pt>
                <c:pt idx="3">
                  <c:v>Indecent Exposure  </c:v>
                </c:pt>
                <c:pt idx="4">
                  <c:v>Stalking</c:v>
                </c:pt>
                <c:pt idx="5">
                  <c:v>Image-based Sexual Abuse / Online Abuse</c:v>
                </c:pt>
                <c:pt idx="6">
                  <c:v>Domestic Abuse</c:v>
                </c:pt>
                <c:pt idx="7">
                  <c:v>Grooming / Boundary Blurring</c:v>
                </c:pt>
                <c:pt idx="8">
                  <c:v>Other</c:v>
                </c:pt>
              </c:strCache>
            </c:strRef>
          </c:cat>
          <c:val>
            <c:numRef>
              <c:f>'Trend Monitoring'!$K$83:$K$91</c:f>
              <c:numCache>
                <c:formatCode>General</c:formatCode>
                <c:ptCount val="9"/>
                <c:pt idx="0">
                  <c:v>72</c:v>
                </c:pt>
                <c:pt idx="1">
                  <c:v>89</c:v>
                </c:pt>
                <c:pt idx="2">
                  <c:v>81</c:v>
                </c:pt>
                <c:pt idx="3">
                  <c:v>15</c:v>
                </c:pt>
                <c:pt idx="4">
                  <c:v>28</c:v>
                </c:pt>
                <c:pt idx="5">
                  <c:v>19</c:v>
                </c:pt>
                <c:pt idx="6">
                  <c:v>23</c:v>
                </c:pt>
                <c:pt idx="7">
                  <c:v>12</c:v>
                </c:pt>
                <c:pt idx="8">
                  <c:v>22</c:v>
                </c:pt>
              </c:numCache>
            </c:numRef>
          </c:val>
          <c:extLst>
            <c:ext xmlns:c16="http://schemas.microsoft.com/office/drawing/2014/chart" uri="{C3380CC4-5D6E-409C-BE32-E72D297353CC}">
              <c16:uniqueId val="{00000012-42E1-4EE3-8FAA-89AE703C4C1C}"/>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25455682005017"/>
          <c:y val="0.17123015436682057"/>
          <c:w val="0.36213993511303127"/>
          <c:h val="0.7342411465066940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800" b="1">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GB" sz="1200" b="1">
                <a:solidFill>
                  <a:schemeClr val="tx1"/>
                </a:solidFill>
              </a:rPr>
              <a:t>Figure 8: Types of Risk Markers (n=156) across high risk cases (n=122)</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BDAC-437A-A375-FBEA237A068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BDAC-437A-A375-FBEA237A068B}"/>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BDAC-437A-A375-FBEA237A068B}"/>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BDAC-437A-A375-FBEA237A068B}"/>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BDAC-437A-A375-FBEA237A068B}"/>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BDAC-437A-A375-FBEA237A068B}"/>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D-BDAC-437A-A375-FBEA237A068B}"/>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F-BDAC-437A-A375-FBEA237A068B}"/>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1-BDAC-437A-A375-FBEA237A068B}"/>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3-BDAC-437A-A375-FBEA237A068B}"/>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5-BDAC-437A-A375-FBEA237A068B}"/>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7-BDAC-437A-A375-FBEA237A068B}"/>
              </c:ext>
            </c:extLst>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9-BDAC-437A-A375-FBEA237A068B}"/>
              </c:ext>
            </c:extLst>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B-BDAC-437A-A375-FBEA237A068B}"/>
              </c:ext>
            </c:extLst>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D-BDAC-437A-A375-FBEA237A068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'Trend Monitoring'!$A$277:$A$291</c:f>
              <c:strCache>
                <c:ptCount val="15"/>
                <c:pt idx="0">
                  <c:v>Stranger</c:v>
                </c:pt>
                <c:pt idx="1">
                  <c:v>Serial Perpetrator</c:v>
                </c:pt>
                <c:pt idx="2">
                  <c:v>Physical violence (not including strangulation)</c:v>
                </c:pt>
                <c:pt idx="3">
                  <c:v>Physical injury</c:v>
                </c:pt>
                <c:pt idx="4">
                  <c:v>Abuse of power</c:v>
                </c:pt>
                <c:pt idx="5">
                  <c:v>Non-fatal strangulation / “choking”</c:v>
                </c:pt>
                <c:pt idx="6">
                  <c:v>Multiple perpetrators in one incident</c:v>
                </c:pt>
                <c:pt idx="7">
                  <c:v>Suspected spiking</c:v>
                </c:pt>
                <c:pt idx="8">
                  <c:v>Child involved </c:v>
                </c:pt>
                <c:pt idx="9">
                  <c:v>SMV as part of "initiation"</c:v>
                </c:pt>
                <c:pt idx="10">
                  <c:v>Perpetrator previously known to police</c:v>
                </c:pt>
                <c:pt idx="11">
                  <c:v>Threats to kill / gang rape</c:v>
                </c:pt>
                <c:pt idx="12">
                  <c:v>Use of weapon</c:v>
                </c:pt>
                <c:pt idx="13">
                  <c:v>Damage to property</c:v>
                </c:pt>
                <c:pt idx="14">
                  <c:v>Reporting Party pregnant at time of abuse</c:v>
                </c:pt>
              </c:strCache>
            </c:strRef>
          </c:cat>
          <c:val>
            <c:numRef>
              <c:f>'Trend Monitoring'!$B$277:$B$291</c:f>
              <c:numCache>
                <c:formatCode>General</c:formatCode>
                <c:ptCount val="15"/>
                <c:pt idx="0">
                  <c:v>34</c:v>
                </c:pt>
                <c:pt idx="1">
                  <c:v>28</c:v>
                </c:pt>
                <c:pt idx="2">
                  <c:v>24</c:v>
                </c:pt>
                <c:pt idx="3">
                  <c:v>13</c:v>
                </c:pt>
                <c:pt idx="4">
                  <c:v>12</c:v>
                </c:pt>
                <c:pt idx="5">
                  <c:v>11</c:v>
                </c:pt>
                <c:pt idx="6">
                  <c:v>10</c:v>
                </c:pt>
                <c:pt idx="7">
                  <c:v>8</c:v>
                </c:pt>
                <c:pt idx="8">
                  <c:v>5</c:v>
                </c:pt>
                <c:pt idx="9">
                  <c:v>3</c:v>
                </c:pt>
                <c:pt idx="10">
                  <c:v>2</c:v>
                </c:pt>
                <c:pt idx="11">
                  <c:v>2</c:v>
                </c:pt>
                <c:pt idx="12">
                  <c:v>2</c:v>
                </c:pt>
                <c:pt idx="13">
                  <c:v>1</c:v>
                </c:pt>
                <c:pt idx="14">
                  <c:v>1</c:v>
                </c:pt>
              </c:numCache>
            </c:numRef>
          </c:val>
          <c:extLst>
            <c:ext xmlns:c16="http://schemas.microsoft.com/office/drawing/2014/chart" uri="{C3380CC4-5D6E-409C-BE32-E72D297353CC}">
              <c16:uniqueId val="{00000000-0EB3-47EA-8BAA-9AFD9730FCC4}"/>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040302703278847"/>
          <c:y val="0.19824116502561978"/>
          <c:w val="0.38690661763726236"/>
          <c:h val="0.74480804554729796"/>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200"/>
              <a:t>Figure 9: Reasons (n=84) for Anonymous Reports (n=37) during the 2022/23 AY</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4"/>
            </a:solidFill>
            <a:ln>
              <a:noFill/>
            </a:ln>
            <a:effectLst>
              <a:outerShdw blurRad="40000" dist="23000" dir="5400000" rotWithShape="0">
                <a:srgbClr val="000000">
                  <a:alpha val="35000"/>
                </a:srgbClr>
              </a:outerShdw>
            </a:effectLst>
          </c:spPr>
          <c:invertIfNegative val="0"/>
          <c:cat>
            <c:strRef>
              <c:f>'Trend Monitoring'!$A$258:$A$272</c:f>
              <c:strCache>
                <c:ptCount val="15"/>
                <c:pt idx="0">
                  <c:v>I feel partly to blame for what happened</c:v>
                </c:pt>
                <c:pt idx="1">
                  <c:v>Making a complaint would have a negative impact on my health</c:v>
                </c:pt>
                <c:pt idx="2">
                  <c:v>I am worried about being called a trouble maker</c:v>
                </c:pt>
                <c:pt idx="3">
                  <c:v>It's not serious enough to warrant a complaint</c:v>
                </c:pt>
                <c:pt idx="4">
                  <c:v>Nothing would be done if I made a complaint</c:v>
                </c:pt>
                <c:pt idx="5">
                  <c:v>I don't want to get the other person(s) into trouble</c:v>
                </c:pt>
                <c:pt idx="6">
                  <c:v>I have concerns it might affect my current/future career</c:v>
                </c:pt>
                <c:pt idx="7">
                  <c:v>I reported it to someone at DU but they didn't take it seriously</c:v>
                </c:pt>
                <c:pt idx="8">
                  <c:v>I don't want anyone to know it took place</c:v>
                </c:pt>
                <c:pt idx="9">
                  <c:v>I am worried that there would be repercussions in my social circle</c:v>
                </c:pt>
                <c:pt idx="10">
                  <c:v>I am worried that I won't be believed</c:v>
                </c:pt>
                <c:pt idx="11">
                  <c:v>I feel too embarrassed or ashamed</c:v>
                </c:pt>
                <c:pt idx="12">
                  <c:v>None of the reasons listed</c:v>
                </c:pt>
                <c:pt idx="13">
                  <c:v>I am worried the perpetrator would retaliate</c:v>
                </c:pt>
                <c:pt idx="14">
                  <c:v>I cannot prove the behaviour took place</c:v>
                </c:pt>
              </c:strCache>
            </c:strRef>
          </c:cat>
          <c:val>
            <c:numRef>
              <c:f>'Trend Monitoring'!$B$258:$B$272</c:f>
              <c:numCache>
                <c:formatCode>General</c:formatCode>
                <c:ptCount val="15"/>
                <c:pt idx="0">
                  <c:v>1</c:v>
                </c:pt>
                <c:pt idx="1">
                  <c:v>1</c:v>
                </c:pt>
                <c:pt idx="2">
                  <c:v>3</c:v>
                </c:pt>
                <c:pt idx="3">
                  <c:v>3</c:v>
                </c:pt>
                <c:pt idx="4">
                  <c:v>3</c:v>
                </c:pt>
                <c:pt idx="5">
                  <c:v>4</c:v>
                </c:pt>
                <c:pt idx="6">
                  <c:v>4</c:v>
                </c:pt>
                <c:pt idx="7">
                  <c:v>4</c:v>
                </c:pt>
                <c:pt idx="8">
                  <c:v>5</c:v>
                </c:pt>
                <c:pt idx="9">
                  <c:v>6</c:v>
                </c:pt>
                <c:pt idx="10">
                  <c:v>7</c:v>
                </c:pt>
                <c:pt idx="11">
                  <c:v>8</c:v>
                </c:pt>
                <c:pt idx="12">
                  <c:v>11</c:v>
                </c:pt>
                <c:pt idx="13">
                  <c:v>12</c:v>
                </c:pt>
                <c:pt idx="14">
                  <c:v>12</c:v>
                </c:pt>
              </c:numCache>
            </c:numRef>
          </c:val>
          <c:extLst>
            <c:ext xmlns:c16="http://schemas.microsoft.com/office/drawing/2014/chart" uri="{C3380CC4-5D6E-409C-BE32-E72D297353CC}">
              <c16:uniqueId val="{00000000-501C-47CF-BE70-92D33E6AAAA4}"/>
            </c:ext>
          </c:extLst>
        </c:ser>
        <c:dLbls>
          <c:showLegendKey val="0"/>
          <c:showVal val="0"/>
          <c:showCatName val="0"/>
          <c:showSerName val="0"/>
          <c:showPercent val="0"/>
          <c:showBubbleSize val="0"/>
        </c:dLbls>
        <c:gapWidth val="100"/>
        <c:axId val="569262752"/>
        <c:axId val="864712288"/>
      </c:barChart>
      <c:catAx>
        <c:axId val="56926275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864712288"/>
        <c:crosses val="autoZero"/>
        <c:auto val="1"/>
        <c:lblAlgn val="ctr"/>
        <c:lblOffset val="100"/>
        <c:noMultiLvlLbl val="0"/>
      </c:catAx>
      <c:valAx>
        <c:axId val="86471228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9262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8B67F34CFD8A408C17DAEB3E0CD47D" ma:contentTypeVersion="12" ma:contentTypeDescription="Create a new document." ma:contentTypeScope="" ma:versionID="40b4d9f68e892a88a4c9989902f85d84">
  <xsd:schema xmlns:xsd="http://www.w3.org/2001/XMLSchema" xmlns:xs="http://www.w3.org/2001/XMLSchema" xmlns:p="http://schemas.microsoft.com/office/2006/metadata/properties" xmlns:ns2="da298d80-e2fb-4cbd-948a-afa125df9787" xmlns:ns3="8f612c8a-2dfb-4a1a-9050-5ffbd886e57b" targetNamespace="http://schemas.microsoft.com/office/2006/metadata/properties" ma:root="true" ma:fieldsID="d6a575d416b275ec72b30e555854bb98" ns2:_="" ns3:_="">
    <xsd:import namespace="da298d80-e2fb-4cbd-948a-afa125df9787"/>
    <xsd:import namespace="8f612c8a-2dfb-4a1a-9050-5ffbd886e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8d80-e2fb-4cbd-948a-afa125df9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D5CAE-C427-4F96-A3EF-A753E53F3DAC}">
  <ds:schemaRefs>
    <ds:schemaRef ds:uri="http://schemas.openxmlformats.org/officeDocument/2006/bibliography"/>
  </ds:schemaRefs>
</ds:datastoreItem>
</file>

<file path=customXml/itemProps2.xml><?xml version="1.0" encoding="utf-8"?>
<ds:datastoreItem xmlns:ds="http://schemas.openxmlformats.org/officeDocument/2006/customXml" ds:itemID="{426ABB32-25AB-4482-9F51-7E3AED1466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DF75A7-BE86-42BD-A27B-7282CA42862E}">
  <ds:schemaRefs>
    <ds:schemaRef ds:uri="http://schemas.microsoft.com/sharepoint/v3/contenttype/forms"/>
  </ds:schemaRefs>
</ds:datastoreItem>
</file>

<file path=customXml/itemProps4.xml><?xml version="1.0" encoding="utf-8"?>
<ds:datastoreItem xmlns:ds="http://schemas.openxmlformats.org/officeDocument/2006/customXml" ds:itemID="{6737CE15-738C-467D-A715-C1D313441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8d80-e2fb-4cbd-948a-afa125df9787"/>
    <ds:schemaRef ds:uri="8f612c8a-2dfb-4a1a-9050-5ffbd886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8067</Words>
  <Characters>47715</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MITRE Project</Company>
  <LinksUpToDate>false</LinksUpToDate>
  <CharactersWithSpaces>55671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CRAMMEN K.M.</dc:creator>
  <cp:lastModifiedBy>HOPKINS, ALEX G.</cp:lastModifiedBy>
  <cp:revision>2</cp:revision>
  <cp:lastPrinted>2023-02-15T19:57:00Z</cp:lastPrinted>
  <dcterms:created xsi:type="dcterms:W3CDTF">2024-05-02T12:58:00Z</dcterms:created>
  <dcterms:modified xsi:type="dcterms:W3CDTF">2024-05-02T12:58:00Z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0x010100278B67F34CFD8A408C17DAEB3E0CD47D</vt:lpwstr>
  </property>
</Properties>
</file>